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33" w:rsidRPr="00853CD5" w:rsidRDefault="00750D33" w:rsidP="009D6F4C">
      <w:pPr>
        <w:jc w:val="center"/>
        <w:rPr>
          <w:rFonts w:ascii="Arial" w:hAnsi="Arial" w:cs="Arial"/>
          <w:b/>
          <w:sz w:val="22"/>
          <w:szCs w:val="22"/>
        </w:rPr>
      </w:pPr>
      <w:r w:rsidRPr="00853CD5">
        <w:rPr>
          <w:rFonts w:ascii="Arial" w:hAnsi="Arial" w:cs="Arial"/>
          <w:b/>
          <w:sz w:val="22"/>
          <w:szCs w:val="22"/>
        </w:rPr>
        <w:t>EXPOSICIÓN DE MOTIVOS</w:t>
      </w:r>
    </w:p>
    <w:p w:rsidR="00750D33" w:rsidRPr="00853CD5" w:rsidRDefault="00750D33" w:rsidP="009D6F4C">
      <w:pPr>
        <w:jc w:val="center"/>
        <w:rPr>
          <w:rFonts w:ascii="Arial" w:hAnsi="Arial" w:cs="Arial"/>
          <w:b/>
          <w:sz w:val="22"/>
          <w:szCs w:val="22"/>
        </w:rPr>
      </w:pPr>
    </w:p>
    <w:p w:rsidR="00750D33" w:rsidRPr="00853CD5" w:rsidRDefault="00750D33" w:rsidP="009D6F4C">
      <w:pPr>
        <w:jc w:val="center"/>
        <w:rPr>
          <w:rFonts w:ascii="Arial" w:hAnsi="Arial" w:cs="Arial"/>
          <w:b/>
          <w:sz w:val="22"/>
          <w:szCs w:val="22"/>
        </w:rPr>
      </w:pPr>
      <w:r w:rsidRPr="00853CD5">
        <w:rPr>
          <w:rFonts w:ascii="Arial" w:hAnsi="Arial" w:cs="Arial"/>
          <w:b/>
          <w:sz w:val="22"/>
          <w:szCs w:val="22"/>
        </w:rPr>
        <w:t>MODIFICAN EL  REGLAMENTO PARA EL CIERRE DE MINAS APROBADO POR DECRETO SUPREMO N° 033-2005-EM</w:t>
      </w:r>
    </w:p>
    <w:p w:rsidR="00750D33" w:rsidRDefault="00750D33" w:rsidP="009D6F4C">
      <w:pPr>
        <w:jc w:val="both"/>
        <w:rPr>
          <w:rFonts w:ascii="Arial" w:hAnsi="Arial" w:cs="Arial"/>
          <w:kern w:val="16"/>
          <w:sz w:val="22"/>
          <w:szCs w:val="22"/>
        </w:rPr>
      </w:pPr>
    </w:p>
    <w:p w:rsidR="00360BBD" w:rsidRPr="00853CD5" w:rsidRDefault="00360BBD" w:rsidP="009D6F4C">
      <w:pPr>
        <w:jc w:val="both"/>
        <w:rPr>
          <w:rFonts w:ascii="Arial" w:hAnsi="Arial" w:cs="Arial"/>
          <w:kern w:val="16"/>
          <w:sz w:val="22"/>
          <w:szCs w:val="22"/>
        </w:rPr>
      </w:pPr>
    </w:p>
    <w:p w:rsidR="00750D33" w:rsidRPr="00530FCC" w:rsidRDefault="00750D33" w:rsidP="009D6F4C">
      <w:pPr>
        <w:pStyle w:val="Prrafodelista"/>
        <w:numPr>
          <w:ilvl w:val="0"/>
          <w:numId w:val="9"/>
        </w:numPr>
        <w:ind w:left="567" w:hanging="567"/>
        <w:jc w:val="both"/>
        <w:rPr>
          <w:rFonts w:ascii="Arial" w:hAnsi="Arial" w:cs="Arial"/>
          <w:b/>
          <w:kern w:val="16"/>
          <w:sz w:val="22"/>
          <w:szCs w:val="22"/>
        </w:rPr>
      </w:pPr>
      <w:r w:rsidRPr="00530FCC">
        <w:rPr>
          <w:rFonts w:ascii="Arial" w:hAnsi="Arial" w:cs="Arial"/>
          <w:b/>
          <w:kern w:val="16"/>
          <w:sz w:val="22"/>
          <w:szCs w:val="22"/>
        </w:rPr>
        <w:t>ANTECEDENTES</w:t>
      </w:r>
    </w:p>
    <w:p w:rsidR="00853CD5" w:rsidRPr="00853CD5" w:rsidRDefault="00853CD5" w:rsidP="009D6F4C">
      <w:pPr>
        <w:pStyle w:val="Encabezado"/>
        <w:tabs>
          <w:tab w:val="clear" w:pos="4419"/>
          <w:tab w:val="clear" w:pos="8838"/>
        </w:tabs>
        <w:ind w:left="360"/>
        <w:jc w:val="both"/>
        <w:rPr>
          <w:rFonts w:ascii="Arial" w:hAnsi="Arial" w:cs="Arial"/>
          <w:lang w:val="es-ES"/>
        </w:rPr>
      </w:pPr>
    </w:p>
    <w:p w:rsidR="00530FCC" w:rsidRDefault="008A17B6" w:rsidP="009D6F4C">
      <w:pPr>
        <w:pStyle w:val="Encabezado"/>
        <w:numPr>
          <w:ilvl w:val="1"/>
          <w:numId w:val="9"/>
        </w:numPr>
        <w:tabs>
          <w:tab w:val="clear" w:pos="4419"/>
          <w:tab w:val="clear" w:pos="8838"/>
        </w:tabs>
        <w:ind w:left="567" w:hanging="567"/>
        <w:jc w:val="both"/>
        <w:rPr>
          <w:rFonts w:ascii="Arial" w:hAnsi="Arial" w:cs="Arial"/>
        </w:rPr>
      </w:pPr>
      <w:r>
        <w:rPr>
          <w:rFonts w:ascii="Arial" w:hAnsi="Arial" w:cs="Arial"/>
        </w:rPr>
        <w:t xml:space="preserve">La </w:t>
      </w:r>
      <w:r w:rsidR="009D6F4C">
        <w:rPr>
          <w:rFonts w:ascii="Arial" w:hAnsi="Arial" w:cs="Arial"/>
        </w:rPr>
        <w:t xml:space="preserve">Ley Nº 28090, </w:t>
      </w:r>
      <w:r w:rsidR="00853CD5" w:rsidRPr="00853CD5">
        <w:rPr>
          <w:rFonts w:ascii="Arial" w:hAnsi="Arial" w:cs="Arial"/>
        </w:rPr>
        <w:t>Ley que regula el Cierre de Minas,</w:t>
      </w:r>
      <w:r w:rsidR="009C2CE2">
        <w:rPr>
          <w:rFonts w:ascii="Arial" w:hAnsi="Arial" w:cs="Arial"/>
        </w:rPr>
        <w:t xml:space="preserve"> </w:t>
      </w:r>
      <w:r w:rsidR="00853CD5" w:rsidRPr="00853CD5">
        <w:rPr>
          <w:rFonts w:ascii="Arial" w:hAnsi="Arial" w:cs="Arial"/>
        </w:rPr>
        <w:t xml:space="preserve">establece </w:t>
      </w:r>
      <w:r w:rsidR="009C2CE2">
        <w:rPr>
          <w:rFonts w:ascii="Arial" w:hAnsi="Arial" w:cs="Arial"/>
        </w:rPr>
        <w:t xml:space="preserve">las </w:t>
      </w:r>
      <w:r w:rsidR="00853CD5" w:rsidRPr="00853CD5">
        <w:rPr>
          <w:rFonts w:ascii="Arial" w:hAnsi="Arial" w:cs="Arial"/>
        </w:rPr>
        <w:t>obligaciones y procedimientos que deben cumplir los titulares de la actividad minera para la elaboración, presentación e implementación del Plan de Cierre de Minas y la constitución de las garantías ambientales correspondientes, que aseguren el cumplimiento de las inversiones que comprende, con sujeción a los principios de protección, preservación y recuperación del medio ambiente y con la finalidad de mitigar sus impactos negativos a la salud de la población, el ecosistema circundante y la propiedad.</w:t>
      </w:r>
    </w:p>
    <w:p w:rsidR="009D6F4C" w:rsidRDefault="009D6F4C" w:rsidP="009D6F4C">
      <w:pPr>
        <w:pStyle w:val="Encabezado"/>
        <w:tabs>
          <w:tab w:val="clear" w:pos="4419"/>
          <w:tab w:val="clear" w:pos="8838"/>
        </w:tabs>
        <w:ind w:left="567"/>
        <w:jc w:val="both"/>
        <w:rPr>
          <w:rFonts w:ascii="Arial" w:hAnsi="Arial" w:cs="Arial"/>
        </w:rPr>
      </w:pPr>
    </w:p>
    <w:p w:rsidR="00530FCC" w:rsidRDefault="00853CD5" w:rsidP="009D6F4C">
      <w:pPr>
        <w:pStyle w:val="Encabezado"/>
        <w:numPr>
          <w:ilvl w:val="1"/>
          <w:numId w:val="9"/>
        </w:numPr>
        <w:tabs>
          <w:tab w:val="clear" w:pos="4419"/>
          <w:tab w:val="clear" w:pos="8838"/>
        </w:tabs>
        <w:ind w:left="567" w:hanging="567"/>
        <w:jc w:val="both"/>
        <w:rPr>
          <w:rFonts w:ascii="Arial" w:hAnsi="Arial" w:cs="Arial"/>
        </w:rPr>
      </w:pPr>
      <w:r w:rsidRPr="00530FCC">
        <w:rPr>
          <w:rFonts w:ascii="Arial" w:hAnsi="Arial" w:cs="Arial"/>
        </w:rPr>
        <w:t xml:space="preserve">De conformidad con </w:t>
      </w:r>
      <w:r w:rsidR="009C2CE2">
        <w:rPr>
          <w:rFonts w:ascii="Arial" w:hAnsi="Arial" w:cs="Arial"/>
        </w:rPr>
        <w:t xml:space="preserve">lo dispuesto en </w:t>
      </w:r>
      <w:r w:rsidRPr="00530FCC">
        <w:rPr>
          <w:rFonts w:ascii="Arial" w:hAnsi="Arial" w:cs="Arial"/>
        </w:rPr>
        <w:t xml:space="preserve">el artículo 4 de la referida Ley, </w:t>
      </w:r>
      <w:r w:rsidR="009C2CE2">
        <w:rPr>
          <w:rFonts w:ascii="Arial" w:hAnsi="Arial" w:cs="Arial"/>
        </w:rPr>
        <w:t xml:space="preserve">el </w:t>
      </w:r>
      <w:r w:rsidRPr="00530FCC">
        <w:rPr>
          <w:rFonts w:ascii="Arial" w:hAnsi="Arial" w:cs="Arial"/>
        </w:rPr>
        <w:t xml:space="preserve">Ministerio de Energía y Minas </w:t>
      </w:r>
      <w:r w:rsidR="009C2CE2">
        <w:rPr>
          <w:rFonts w:ascii="Arial" w:hAnsi="Arial" w:cs="Arial"/>
        </w:rPr>
        <w:t xml:space="preserve">es la autoridad competente para, entre otros, </w:t>
      </w:r>
      <w:r w:rsidRPr="00530FCC">
        <w:rPr>
          <w:rFonts w:ascii="Arial" w:hAnsi="Arial" w:cs="Arial"/>
        </w:rPr>
        <w:t xml:space="preserve">aprobar los Planes de Cierre de Minas, </w:t>
      </w:r>
      <w:r w:rsidR="009C2CE2">
        <w:rPr>
          <w:rFonts w:ascii="Arial" w:hAnsi="Arial" w:cs="Arial"/>
        </w:rPr>
        <w:t xml:space="preserve">e </w:t>
      </w:r>
      <w:r w:rsidRPr="00530FCC">
        <w:rPr>
          <w:rFonts w:ascii="Arial" w:hAnsi="Arial" w:cs="Arial"/>
        </w:rPr>
        <w:t>impone</w:t>
      </w:r>
      <w:r w:rsidR="009C2CE2">
        <w:rPr>
          <w:rFonts w:ascii="Arial" w:hAnsi="Arial" w:cs="Arial"/>
        </w:rPr>
        <w:t xml:space="preserve">r </w:t>
      </w:r>
      <w:r w:rsidRPr="00530FCC">
        <w:rPr>
          <w:rFonts w:ascii="Arial" w:hAnsi="Arial" w:cs="Arial"/>
        </w:rPr>
        <w:t xml:space="preserve">en </w:t>
      </w:r>
      <w:r w:rsidR="009C2CE2">
        <w:rPr>
          <w:rFonts w:ascii="Arial" w:hAnsi="Arial" w:cs="Arial"/>
        </w:rPr>
        <w:t xml:space="preserve">tal </w:t>
      </w:r>
      <w:r w:rsidRPr="00530FCC">
        <w:rPr>
          <w:rFonts w:ascii="Arial" w:hAnsi="Arial" w:cs="Arial"/>
        </w:rPr>
        <w:t>caso</w:t>
      </w:r>
      <w:r w:rsidR="009C2CE2">
        <w:rPr>
          <w:rFonts w:ascii="Arial" w:hAnsi="Arial" w:cs="Arial"/>
        </w:rPr>
        <w:t xml:space="preserve">, </w:t>
      </w:r>
      <w:r w:rsidRPr="00530FCC">
        <w:rPr>
          <w:rFonts w:ascii="Arial" w:hAnsi="Arial" w:cs="Arial"/>
        </w:rPr>
        <w:t>las sanciones administrativas respectivas.</w:t>
      </w:r>
    </w:p>
    <w:p w:rsidR="009D6F4C" w:rsidRDefault="009D6F4C" w:rsidP="009D6F4C">
      <w:pPr>
        <w:pStyle w:val="Encabezado"/>
        <w:tabs>
          <w:tab w:val="clear" w:pos="4419"/>
          <w:tab w:val="clear" w:pos="8838"/>
        </w:tabs>
        <w:ind w:left="567"/>
        <w:jc w:val="both"/>
        <w:rPr>
          <w:rFonts w:ascii="Arial" w:hAnsi="Arial" w:cs="Arial"/>
        </w:rPr>
      </w:pPr>
    </w:p>
    <w:p w:rsidR="00360BBD" w:rsidRPr="00360BBD" w:rsidRDefault="00853CD5" w:rsidP="009D6F4C">
      <w:pPr>
        <w:pStyle w:val="Encabezado"/>
        <w:numPr>
          <w:ilvl w:val="1"/>
          <w:numId w:val="9"/>
        </w:numPr>
        <w:tabs>
          <w:tab w:val="clear" w:pos="4419"/>
          <w:tab w:val="clear" w:pos="8838"/>
        </w:tabs>
        <w:ind w:left="567" w:hanging="567"/>
        <w:jc w:val="both"/>
        <w:rPr>
          <w:rFonts w:ascii="Arial" w:hAnsi="Arial" w:cs="Arial"/>
        </w:rPr>
      </w:pPr>
      <w:r w:rsidRPr="00360BBD">
        <w:rPr>
          <w:rFonts w:ascii="Arial" w:hAnsi="Arial" w:cs="Arial"/>
        </w:rPr>
        <w:t xml:space="preserve">Mediante </w:t>
      </w:r>
      <w:r w:rsidR="00360BBD" w:rsidRPr="00360BBD">
        <w:rPr>
          <w:rFonts w:ascii="Arial" w:hAnsi="Arial" w:cs="Arial"/>
        </w:rPr>
        <w:t xml:space="preserve">Decreto Supremo Nº 033-2005-EM se aprobó </w:t>
      </w:r>
      <w:r w:rsidRPr="00360BBD">
        <w:rPr>
          <w:rFonts w:ascii="Arial" w:hAnsi="Arial" w:cs="Arial"/>
        </w:rPr>
        <w:t>el Reglamento de</w:t>
      </w:r>
      <w:r w:rsidR="00360BBD" w:rsidRPr="00360BBD">
        <w:rPr>
          <w:rFonts w:ascii="Arial" w:hAnsi="Arial" w:cs="Arial"/>
        </w:rPr>
        <w:t xml:space="preserve"> la Ley N° 28090, Ley que regula el cierre de minas, el mismo que en su </w:t>
      </w:r>
      <w:r w:rsidR="0020200B" w:rsidRPr="00360BBD">
        <w:rPr>
          <w:rFonts w:ascii="Arial" w:hAnsi="Arial" w:cs="Arial"/>
        </w:rPr>
        <w:t xml:space="preserve">artículo 8 </w:t>
      </w:r>
      <w:r w:rsidRPr="00360BBD">
        <w:rPr>
          <w:rFonts w:ascii="Arial" w:hAnsi="Arial" w:cs="Arial"/>
        </w:rPr>
        <w:t>establece</w:t>
      </w:r>
      <w:r w:rsidR="0020200B" w:rsidRPr="00360BBD">
        <w:rPr>
          <w:rFonts w:ascii="Arial" w:hAnsi="Arial" w:cs="Arial"/>
        </w:rPr>
        <w:t xml:space="preserve"> que </w:t>
      </w:r>
      <w:r w:rsidR="00360BBD" w:rsidRPr="00360BBD">
        <w:rPr>
          <w:rFonts w:ascii="Arial" w:hAnsi="Arial" w:cs="Arial"/>
          <w:color w:val="000000"/>
          <w:shd w:val="clear" w:color="auto" w:fill="FFFFFF"/>
        </w:rPr>
        <w:t> la presentación del Plan de Cierre de Minas es una obligación exigible a todo titular de actividad minera, que se encuentre en operación sea en la fase de desarrollo minero o de producción, que inicie operaciones mineras o las reinicie después de haberlas suspendido o paralizado antes de la vigencia de la Ley, y no cuente con un Plan de Cierre de Minas aprobado</w:t>
      </w:r>
    </w:p>
    <w:p w:rsidR="00360BBD" w:rsidRDefault="00360BBD" w:rsidP="00360BBD">
      <w:pPr>
        <w:pStyle w:val="Prrafodelista"/>
        <w:rPr>
          <w:rFonts w:ascii="Arial" w:hAnsi="Arial" w:cs="Arial"/>
          <w:color w:val="000000"/>
          <w:sz w:val="20"/>
          <w:szCs w:val="20"/>
          <w:shd w:val="clear" w:color="auto" w:fill="FFFFFF"/>
        </w:rPr>
      </w:pPr>
    </w:p>
    <w:p w:rsidR="00E47465" w:rsidRDefault="00360BBD" w:rsidP="009D6F4C">
      <w:pPr>
        <w:pStyle w:val="Encabezado"/>
        <w:numPr>
          <w:ilvl w:val="1"/>
          <w:numId w:val="9"/>
        </w:numPr>
        <w:tabs>
          <w:tab w:val="clear" w:pos="4419"/>
          <w:tab w:val="clear" w:pos="8838"/>
        </w:tabs>
        <w:ind w:left="567" w:hanging="567"/>
        <w:jc w:val="both"/>
        <w:rPr>
          <w:rFonts w:ascii="Arial" w:hAnsi="Arial" w:cs="Arial"/>
        </w:rPr>
      </w:pPr>
      <w:r>
        <w:rPr>
          <w:rFonts w:ascii="Arial" w:hAnsi="Arial" w:cs="Arial"/>
        </w:rPr>
        <w:t>Asimismo, e</w:t>
      </w:r>
      <w:r w:rsidR="00F045F1" w:rsidRPr="00F045F1">
        <w:rPr>
          <w:rFonts w:ascii="Arial" w:hAnsi="Arial" w:cs="Arial"/>
        </w:rPr>
        <w:t>l artículo 20 del</w:t>
      </w:r>
      <w:r w:rsidR="00F045F1">
        <w:rPr>
          <w:rFonts w:ascii="Arial" w:hAnsi="Arial" w:cs="Arial"/>
        </w:rPr>
        <w:t xml:space="preserve"> referido r</w:t>
      </w:r>
      <w:r w:rsidR="00F045F1" w:rsidRPr="00F045F1">
        <w:rPr>
          <w:rFonts w:ascii="Arial" w:hAnsi="Arial" w:cs="Arial"/>
        </w:rPr>
        <w:t>eglamento establece los supuestos y el plazo para la revisión y modificación del Plan de Cierre de Minas</w:t>
      </w:r>
      <w:r w:rsidR="00E47465">
        <w:rPr>
          <w:rFonts w:ascii="Arial" w:hAnsi="Arial" w:cs="Arial"/>
        </w:rPr>
        <w:t>.</w:t>
      </w:r>
    </w:p>
    <w:p w:rsidR="009D6F4C" w:rsidRDefault="009D6F4C" w:rsidP="009D6F4C">
      <w:pPr>
        <w:pStyle w:val="Encabezado"/>
        <w:tabs>
          <w:tab w:val="clear" w:pos="4419"/>
          <w:tab w:val="clear" w:pos="8838"/>
        </w:tabs>
        <w:ind w:left="567"/>
        <w:jc w:val="both"/>
        <w:rPr>
          <w:rFonts w:ascii="Arial" w:hAnsi="Arial" w:cs="Arial"/>
        </w:rPr>
      </w:pPr>
    </w:p>
    <w:p w:rsidR="00530FCC" w:rsidRDefault="00853CD5" w:rsidP="009D6F4C">
      <w:pPr>
        <w:pStyle w:val="Encabezado"/>
        <w:numPr>
          <w:ilvl w:val="1"/>
          <w:numId w:val="9"/>
        </w:numPr>
        <w:tabs>
          <w:tab w:val="clear" w:pos="4419"/>
          <w:tab w:val="clear" w:pos="8838"/>
        </w:tabs>
        <w:ind w:left="567" w:hanging="567"/>
        <w:jc w:val="both"/>
        <w:rPr>
          <w:rFonts w:ascii="Arial" w:hAnsi="Arial" w:cs="Arial"/>
        </w:rPr>
      </w:pPr>
      <w:r w:rsidRPr="00530FCC">
        <w:rPr>
          <w:rFonts w:ascii="Arial" w:hAnsi="Arial" w:cs="Arial"/>
        </w:rPr>
        <w:t xml:space="preserve">A su vez, el artículo 46 del </w:t>
      </w:r>
      <w:r w:rsidR="00E47465">
        <w:rPr>
          <w:rFonts w:ascii="Arial" w:hAnsi="Arial" w:cs="Arial"/>
        </w:rPr>
        <w:t>acotado r</w:t>
      </w:r>
      <w:r w:rsidRPr="00530FCC">
        <w:rPr>
          <w:rFonts w:ascii="Arial" w:hAnsi="Arial" w:cs="Arial"/>
        </w:rPr>
        <w:t xml:space="preserve">eglamento, señala que </w:t>
      </w:r>
      <w:r w:rsidRPr="00754B2F">
        <w:rPr>
          <w:rFonts w:ascii="Arial" w:hAnsi="Arial" w:cs="Arial"/>
        </w:rPr>
        <w:t>el titular de actividad minera constituirá garantías</w:t>
      </w:r>
      <w:r w:rsidRPr="00530FCC">
        <w:rPr>
          <w:rFonts w:ascii="Arial" w:hAnsi="Arial" w:cs="Arial"/>
        </w:rPr>
        <w:t xml:space="preserve"> de importe suficiente y realización oportuna para el cumplimiento del Plan de Cierre de Minas</w:t>
      </w:r>
      <w:r w:rsidR="0020200B" w:rsidRPr="00530FCC">
        <w:rPr>
          <w:rFonts w:ascii="Arial" w:hAnsi="Arial" w:cs="Arial"/>
        </w:rPr>
        <w:t xml:space="preserve">; disponiendo el artículo 47 de la misma norma que el </w:t>
      </w:r>
      <w:r w:rsidR="00632CB0" w:rsidRPr="00530FCC">
        <w:rPr>
          <w:rFonts w:ascii="Arial" w:hAnsi="Arial" w:cs="Arial"/>
        </w:rPr>
        <w:t>titular de actividad minera no podrá desarrollar las operaciones de exploración minera ni operaciones de explotación y procesamiento minero, si no ha constituido previamente</w:t>
      </w:r>
      <w:r w:rsidR="00754B2F">
        <w:rPr>
          <w:rFonts w:ascii="Arial" w:hAnsi="Arial" w:cs="Arial"/>
        </w:rPr>
        <w:t xml:space="preserve"> las citadas </w:t>
      </w:r>
      <w:r w:rsidR="0020200B" w:rsidRPr="00530FCC">
        <w:rPr>
          <w:rFonts w:ascii="Arial" w:hAnsi="Arial" w:cs="Arial"/>
        </w:rPr>
        <w:t>garantías.</w:t>
      </w:r>
    </w:p>
    <w:p w:rsidR="00360BBD" w:rsidRDefault="00360BBD" w:rsidP="00360BBD">
      <w:pPr>
        <w:pStyle w:val="Prrafodelista"/>
        <w:rPr>
          <w:rFonts w:ascii="Arial" w:hAnsi="Arial" w:cs="Arial"/>
        </w:rPr>
      </w:pPr>
    </w:p>
    <w:p w:rsidR="00305F88" w:rsidRDefault="00530FCC" w:rsidP="009D6F4C">
      <w:pPr>
        <w:pStyle w:val="Encabezado"/>
        <w:numPr>
          <w:ilvl w:val="1"/>
          <w:numId w:val="9"/>
        </w:numPr>
        <w:tabs>
          <w:tab w:val="clear" w:pos="4419"/>
          <w:tab w:val="clear" w:pos="8838"/>
        </w:tabs>
        <w:ind w:left="567" w:hanging="567"/>
        <w:jc w:val="both"/>
        <w:rPr>
          <w:rFonts w:ascii="Arial" w:hAnsi="Arial" w:cs="Arial"/>
        </w:rPr>
      </w:pPr>
      <w:r w:rsidRPr="00530FCC">
        <w:rPr>
          <w:rFonts w:ascii="Arial" w:hAnsi="Arial" w:cs="Arial"/>
        </w:rPr>
        <w:t xml:space="preserve">Asimismo, el artículo 50 </w:t>
      </w:r>
      <w:r w:rsidR="00632CB0" w:rsidRPr="00530FCC">
        <w:rPr>
          <w:rFonts w:ascii="Arial" w:hAnsi="Arial" w:cs="Arial"/>
        </w:rPr>
        <w:t xml:space="preserve"> </w:t>
      </w:r>
      <w:r w:rsidRPr="00530FCC">
        <w:rPr>
          <w:rFonts w:ascii="Arial" w:hAnsi="Arial" w:cs="Arial"/>
        </w:rPr>
        <w:t>del Reglamento para el Cierre de Minas establece que l</w:t>
      </w:r>
      <w:r w:rsidR="00632CB0" w:rsidRPr="00530FCC">
        <w:rPr>
          <w:rFonts w:ascii="Arial" w:hAnsi="Arial" w:cs="Arial"/>
        </w:rPr>
        <w:t>a garantía se constituirá a partir del año siguiente a la fecha de aprobación o modificación del Plan de Cierre de Minas, dentro de los primeros doc</w:t>
      </w:r>
      <w:r w:rsidR="00305F88">
        <w:rPr>
          <w:rFonts w:ascii="Arial" w:hAnsi="Arial" w:cs="Arial"/>
        </w:rPr>
        <w:t>e (12) días hábiles de cada año.</w:t>
      </w:r>
      <w:r w:rsidR="008A17B6">
        <w:rPr>
          <w:rFonts w:ascii="Arial" w:hAnsi="Arial" w:cs="Arial"/>
        </w:rPr>
        <w:t xml:space="preserve"> A su vez, el artículo 51 regula lo referido al cálculo del monto de la garantía.</w:t>
      </w:r>
    </w:p>
    <w:p w:rsidR="009D6F4C" w:rsidRDefault="009D6F4C" w:rsidP="009D6F4C">
      <w:pPr>
        <w:pStyle w:val="Encabezado"/>
        <w:tabs>
          <w:tab w:val="clear" w:pos="4419"/>
          <w:tab w:val="clear" w:pos="8838"/>
        </w:tabs>
        <w:ind w:left="567"/>
        <w:jc w:val="both"/>
        <w:rPr>
          <w:rFonts w:ascii="Arial" w:hAnsi="Arial" w:cs="Arial"/>
        </w:rPr>
      </w:pPr>
    </w:p>
    <w:p w:rsidR="00530FCC" w:rsidRDefault="00530FCC" w:rsidP="009D6F4C">
      <w:pPr>
        <w:pStyle w:val="Prrafodelista"/>
        <w:numPr>
          <w:ilvl w:val="0"/>
          <w:numId w:val="9"/>
        </w:numPr>
        <w:ind w:left="567" w:hanging="567"/>
        <w:jc w:val="both"/>
        <w:rPr>
          <w:rFonts w:ascii="Arial" w:hAnsi="Arial" w:cs="Arial"/>
          <w:b/>
          <w:kern w:val="16"/>
          <w:sz w:val="22"/>
          <w:szCs w:val="22"/>
        </w:rPr>
      </w:pPr>
      <w:r w:rsidRPr="00530FCC">
        <w:rPr>
          <w:rFonts w:ascii="Arial" w:hAnsi="Arial" w:cs="Arial"/>
          <w:b/>
          <w:kern w:val="16"/>
          <w:sz w:val="22"/>
          <w:szCs w:val="22"/>
        </w:rPr>
        <w:t>PROPUESTA</w:t>
      </w:r>
    </w:p>
    <w:p w:rsidR="008A17B6" w:rsidRDefault="008A17B6" w:rsidP="008A17B6">
      <w:pPr>
        <w:jc w:val="both"/>
        <w:rPr>
          <w:rFonts w:ascii="Arial" w:hAnsi="Arial" w:cs="Arial"/>
          <w:b/>
          <w:kern w:val="16"/>
          <w:sz w:val="22"/>
          <w:szCs w:val="22"/>
          <w:u w:val="single"/>
        </w:rPr>
      </w:pPr>
    </w:p>
    <w:p w:rsidR="008A17B6" w:rsidRDefault="008A17B6" w:rsidP="008A17B6">
      <w:pPr>
        <w:numPr>
          <w:ilvl w:val="1"/>
          <w:numId w:val="2"/>
        </w:numPr>
        <w:ind w:left="567" w:hanging="567"/>
        <w:jc w:val="both"/>
        <w:rPr>
          <w:rFonts w:ascii="Arial" w:hAnsi="Arial" w:cs="Arial"/>
          <w:kern w:val="16"/>
          <w:sz w:val="22"/>
          <w:szCs w:val="22"/>
        </w:rPr>
      </w:pPr>
      <w:r w:rsidRPr="008A17B6">
        <w:rPr>
          <w:rFonts w:ascii="Arial" w:hAnsi="Arial" w:cs="Arial"/>
          <w:kern w:val="16"/>
          <w:sz w:val="22"/>
          <w:szCs w:val="22"/>
        </w:rPr>
        <w:t>Respecto del artículo 20 del Reglamento para el Cierre de Minas, aprobado por Decreto Supremo N° 033-2005-EM</w:t>
      </w:r>
      <w:r>
        <w:rPr>
          <w:rFonts w:ascii="Arial" w:hAnsi="Arial" w:cs="Arial"/>
          <w:kern w:val="16"/>
          <w:sz w:val="22"/>
          <w:szCs w:val="22"/>
        </w:rPr>
        <w:t xml:space="preserve">, </w:t>
      </w:r>
      <w:r w:rsidRPr="006520C2">
        <w:rPr>
          <w:rFonts w:ascii="Arial" w:hAnsi="Arial" w:cs="Arial"/>
          <w:kern w:val="16"/>
          <w:sz w:val="22"/>
          <w:szCs w:val="22"/>
        </w:rPr>
        <w:t xml:space="preserve">de acuerdo a la revisión efectuada al Sistema de Información Ambiental del Ministerio de Energía y Minas - SIA, se aprecia que en los últimos tres años la Dirección General de Asuntos Ambientales - DGAAM ha </w:t>
      </w:r>
      <w:r w:rsidRPr="006520C2">
        <w:rPr>
          <w:rFonts w:ascii="Arial" w:hAnsi="Arial" w:cs="Arial"/>
          <w:kern w:val="16"/>
          <w:sz w:val="22"/>
          <w:szCs w:val="22"/>
        </w:rPr>
        <w:lastRenderedPageBreak/>
        <w:t>recibido con fines de evaluación</w:t>
      </w:r>
      <w:r>
        <w:rPr>
          <w:rFonts w:ascii="Arial" w:hAnsi="Arial" w:cs="Arial"/>
          <w:kern w:val="16"/>
          <w:sz w:val="22"/>
          <w:szCs w:val="22"/>
        </w:rPr>
        <w:t>,</w:t>
      </w:r>
      <w:r w:rsidRPr="006520C2">
        <w:rPr>
          <w:rFonts w:ascii="Arial" w:hAnsi="Arial" w:cs="Arial"/>
          <w:kern w:val="16"/>
          <w:sz w:val="22"/>
          <w:szCs w:val="22"/>
        </w:rPr>
        <w:t xml:space="preserve"> 64 actualizaciones de plan de cierre. De las actualizaciones indicadas, </w:t>
      </w:r>
      <w:r>
        <w:rPr>
          <w:rFonts w:ascii="Arial" w:hAnsi="Arial" w:cs="Arial"/>
          <w:kern w:val="16"/>
          <w:sz w:val="22"/>
          <w:szCs w:val="22"/>
        </w:rPr>
        <w:t>más del 30%</w:t>
      </w:r>
      <w:r w:rsidR="002B3773">
        <w:rPr>
          <w:rFonts w:ascii="Arial" w:hAnsi="Arial" w:cs="Arial"/>
          <w:kern w:val="16"/>
          <w:sz w:val="22"/>
          <w:szCs w:val="22"/>
        </w:rPr>
        <w:t>,</w:t>
      </w:r>
      <w:r>
        <w:rPr>
          <w:rFonts w:ascii="Arial" w:hAnsi="Arial" w:cs="Arial"/>
          <w:kern w:val="16"/>
          <w:sz w:val="22"/>
          <w:szCs w:val="22"/>
        </w:rPr>
        <w:t xml:space="preserve"> esto es </w:t>
      </w:r>
      <w:r w:rsidRPr="006520C2">
        <w:rPr>
          <w:rFonts w:ascii="Arial" w:hAnsi="Arial" w:cs="Arial"/>
          <w:kern w:val="16"/>
          <w:sz w:val="22"/>
          <w:szCs w:val="22"/>
        </w:rPr>
        <w:t>23</w:t>
      </w:r>
      <w:r>
        <w:rPr>
          <w:rFonts w:ascii="Arial" w:hAnsi="Arial" w:cs="Arial"/>
          <w:kern w:val="16"/>
          <w:sz w:val="22"/>
          <w:szCs w:val="22"/>
        </w:rPr>
        <w:t xml:space="preserve"> titulares de actividad minera, </w:t>
      </w:r>
      <w:r w:rsidRPr="006520C2">
        <w:rPr>
          <w:rFonts w:ascii="Arial" w:hAnsi="Arial" w:cs="Arial"/>
          <w:kern w:val="16"/>
          <w:sz w:val="22"/>
          <w:szCs w:val="22"/>
        </w:rPr>
        <w:t xml:space="preserve"> contaron con una modificación previa al vencimiento de plazo establecido en el artículo 20 del D</w:t>
      </w:r>
      <w:r>
        <w:rPr>
          <w:rFonts w:ascii="Arial" w:hAnsi="Arial" w:cs="Arial"/>
          <w:kern w:val="16"/>
          <w:sz w:val="22"/>
          <w:szCs w:val="22"/>
        </w:rPr>
        <w:t xml:space="preserve">ecreto </w:t>
      </w:r>
      <w:r w:rsidRPr="006520C2">
        <w:rPr>
          <w:rFonts w:ascii="Arial" w:hAnsi="Arial" w:cs="Arial"/>
          <w:kern w:val="16"/>
          <w:sz w:val="22"/>
          <w:szCs w:val="22"/>
        </w:rPr>
        <w:t>S</w:t>
      </w:r>
      <w:r>
        <w:rPr>
          <w:rFonts w:ascii="Arial" w:hAnsi="Arial" w:cs="Arial"/>
          <w:kern w:val="16"/>
          <w:sz w:val="22"/>
          <w:szCs w:val="22"/>
        </w:rPr>
        <w:t>upremo</w:t>
      </w:r>
      <w:r w:rsidRPr="006520C2">
        <w:rPr>
          <w:rFonts w:ascii="Arial" w:hAnsi="Arial" w:cs="Arial"/>
          <w:kern w:val="16"/>
          <w:sz w:val="22"/>
          <w:szCs w:val="22"/>
        </w:rPr>
        <w:t xml:space="preserve"> N° 033-2005-EM. </w:t>
      </w:r>
    </w:p>
    <w:p w:rsidR="008A17B6" w:rsidRDefault="008A17B6" w:rsidP="008A17B6">
      <w:pPr>
        <w:ind w:left="567"/>
        <w:jc w:val="both"/>
        <w:rPr>
          <w:rFonts w:ascii="Arial" w:hAnsi="Arial" w:cs="Arial"/>
          <w:kern w:val="16"/>
          <w:sz w:val="22"/>
          <w:szCs w:val="22"/>
        </w:rPr>
      </w:pPr>
    </w:p>
    <w:p w:rsidR="00EC3991" w:rsidRDefault="00754B2F" w:rsidP="002B3773">
      <w:pPr>
        <w:ind w:left="567"/>
        <w:jc w:val="both"/>
        <w:rPr>
          <w:rFonts w:ascii="Arial" w:hAnsi="Arial" w:cs="Arial"/>
          <w:kern w:val="16"/>
          <w:sz w:val="22"/>
          <w:szCs w:val="22"/>
        </w:rPr>
      </w:pPr>
      <w:r>
        <w:rPr>
          <w:rFonts w:ascii="Arial" w:hAnsi="Arial" w:cs="Arial"/>
          <w:kern w:val="16"/>
          <w:sz w:val="22"/>
          <w:szCs w:val="22"/>
        </w:rPr>
        <w:t xml:space="preserve">Como se advierte de las cifras mencionadas, </w:t>
      </w:r>
      <w:r w:rsidR="008A17B6" w:rsidRPr="006520C2">
        <w:rPr>
          <w:rFonts w:ascii="Arial" w:hAnsi="Arial" w:cs="Arial"/>
          <w:kern w:val="16"/>
          <w:sz w:val="22"/>
          <w:szCs w:val="22"/>
        </w:rPr>
        <w:t>dentro del plazo de cinco años l</w:t>
      </w:r>
      <w:r w:rsidR="002B3773">
        <w:rPr>
          <w:rFonts w:ascii="Arial" w:hAnsi="Arial" w:cs="Arial"/>
          <w:kern w:val="16"/>
          <w:sz w:val="22"/>
          <w:szCs w:val="22"/>
        </w:rPr>
        <w:t>o</w:t>
      </w:r>
      <w:r w:rsidR="008A17B6" w:rsidRPr="006520C2">
        <w:rPr>
          <w:rFonts w:ascii="Arial" w:hAnsi="Arial" w:cs="Arial"/>
          <w:kern w:val="16"/>
          <w:sz w:val="22"/>
          <w:szCs w:val="22"/>
        </w:rPr>
        <w:t xml:space="preserve">s 23 </w:t>
      </w:r>
      <w:r w:rsidR="002B3773">
        <w:rPr>
          <w:rFonts w:ascii="Arial" w:hAnsi="Arial" w:cs="Arial"/>
          <w:kern w:val="16"/>
          <w:sz w:val="22"/>
          <w:szCs w:val="22"/>
        </w:rPr>
        <w:t xml:space="preserve">titulares de actividad minera </w:t>
      </w:r>
      <w:r w:rsidR="008A17B6" w:rsidRPr="006520C2">
        <w:rPr>
          <w:rFonts w:ascii="Arial" w:hAnsi="Arial" w:cs="Arial"/>
          <w:kern w:val="16"/>
          <w:sz w:val="22"/>
          <w:szCs w:val="22"/>
        </w:rPr>
        <w:t>que presentaron sus actualizaciones, se enc</w:t>
      </w:r>
      <w:r w:rsidR="008A17B6">
        <w:rPr>
          <w:rFonts w:ascii="Arial" w:hAnsi="Arial" w:cs="Arial"/>
          <w:kern w:val="16"/>
          <w:sz w:val="22"/>
          <w:szCs w:val="22"/>
        </w:rPr>
        <w:t xml:space="preserve">ontrarían </w:t>
      </w:r>
      <w:r w:rsidR="008A17B6" w:rsidRPr="006520C2">
        <w:rPr>
          <w:rFonts w:ascii="Arial" w:hAnsi="Arial" w:cs="Arial"/>
          <w:kern w:val="16"/>
          <w:sz w:val="22"/>
          <w:szCs w:val="22"/>
        </w:rPr>
        <w:t>obligadas a realizar dos revisiones de su Plan de Cierre</w:t>
      </w:r>
      <w:r w:rsidR="002B3773">
        <w:rPr>
          <w:rFonts w:ascii="Arial" w:hAnsi="Arial" w:cs="Arial"/>
          <w:kern w:val="16"/>
          <w:sz w:val="22"/>
          <w:szCs w:val="22"/>
        </w:rPr>
        <w:t xml:space="preserve">: de </w:t>
      </w:r>
      <w:r w:rsidR="008A17B6" w:rsidRPr="006520C2">
        <w:rPr>
          <w:rFonts w:ascii="Arial" w:hAnsi="Arial" w:cs="Arial"/>
          <w:kern w:val="16"/>
          <w:sz w:val="22"/>
          <w:szCs w:val="22"/>
        </w:rPr>
        <w:t xml:space="preserve">un lado la modificación y </w:t>
      </w:r>
      <w:r w:rsidR="002B3773">
        <w:rPr>
          <w:rFonts w:ascii="Arial" w:hAnsi="Arial" w:cs="Arial"/>
          <w:kern w:val="16"/>
          <w:sz w:val="22"/>
          <w:szCs w:val="22"/>
        </w:rPr>
        <w:t xml:space="preserve">de otro </w:t>
      </w:r>
      <w:r w:rsidR="008A17B6" w:rsidRPr="006520C2">
        <w:rPr>
          <w:rFonts w:ascii="Arial" w:hAnsi="Arial" w:cs="Arial"/>
          <w:kern w:val="16"/>
          <w:sz w:val="22"/>
          <w:szCs w:val="22"/>
        </w:rPr>
        <w:t>la actualización</w:t>
      </w:r>
      <w:r w:rsidR="00EC3991">
        <w:rPr>
          <w:rFonts w:ascii="Arial" w:hAnsi="Arial" w:cs="Arial"/>
          <w:kern w:val="16"/>
          <w:sz w:val="22"/>
          <w:szCs w:val="22"/>
        </w:rPr>
        <w:t xml:space="preserve">. </w:t>
      </w:r>
    </w:p>
    <w:p w:rsidR="00EC3991" w:rsidRDefault="00EC3991" w:rsidP="002B3773">
      <w:pPr>
        <w:ind w:left="567"/>
        <w:jc w:val="both"/>
        <w:rPr>
          <w:rFonts w:ascii="Arial" w:hAnsi="Arial" w:cs="Arial"/>
          <w:kern w:val="16"/>
          <w:sz w:val="22"/>
          <w:szCs w:val="22"/>
        </w:rPr>
      </w:pPr>
    </w:p>
    <w:p w:rsidR="008A17B6" w:rsidRDefault="00EC3991" w:rsidP="002B3773">
      <w:pPr>
        <w:ind w:left="567"/>
        <w:jc w:val="both"/>
        <w:rPr>
          <w:rFonts w:ascii="Arial" w:hAnsi="Arial" w:cs="Arial"/>
          <w:kern w:val="16"/>
          <w:sz w:val="22"/>
          <w:szCs w:val="22"/>
        </w:rPr>
      </w:pPr>
      <w:r>
        <w:rPr>
          <w:rFonts w:ascii="Arial" w:hAnsi="Arial" w:cs="Arial"/>
          <w:kern w:val="16"/>
          <w:sz w:val="22"/>
          <w:szCs w:val="22"/>
        </w:rPr>
        <w:t xml:space="preserve">En tal sentido, </w:t>
      </w:r>
      <w:r w:rsidR="008A17B6" w:rsidRPr="006520C2">
        <w:rPr>
          <w:rFonts w:ascii="Arial" w:hAnsi="Arial" w:cs="Arial"/>
          <w:kern w:val="16"/>
          <w:sz w:val="22"/>
          <w:szCs w:val="22"/>
        </w:rPr>
        <w:t xml:space="preserve">atendiendo a que en ambos documentos el análisis se realiza conforme al Anexo 1 del Reglamento de Cierre de Minas, se propone modificar el </w:t>
      </w:r>
      <w:r w:rsidR="008A17B6">
        <w:rPr>
          <w:rFonts w:ascii="Arial" w:hAnsi="Arial" w:cs="Arial"/>
          <w:kern w:val="16"/>
          <w:sz w:val="22"/>
          <w:szCs w:val="22"/>
        </w:rPr>
        <w:t xml:space="preserve">numeral 20.1. del </w:t>
      </w:r>
      <w:r w:rsidR="008A17B6" w:rsidRPr="006520C2">
        <w:rPr>
          <w:rFonts w:ascii="Arial" w:hAnsi="Arial" w:cs="Arial"/>
          <w:kern w:val="16"/>
          <w:sz w:val="22"/>
          <w:szCs w:val="22"/>
        </w:rPr>
        <w:t xml:space="preserve">referido artículo respecto a la oportunidad de la actualización, la misma que deberá efectuarse luego de transcurridos cinco (5) años desde su aprobación. </w:t>
      </w:r>
    </w:p>
    <w:p w:rsidR="008A17B6" w:rsidRDefault="008A17B6" w:rsidP="008A17B6">
      <w:pPr>
        <w:ind w:left="567"/>
        <w:jc w:val="both"/>
        <w:rPr>
          <w:rFonts w:ascii="Arial" w:hAnsi="Arial" w:cs="Arial"/>
          <w:kern w:val="16"/>
          <w:sz w:val="22"/>
          <w:szCs w:val="22"/>
        </w:rPr>
      </w:pPr>
    </w:p>
    <w:p w:rsidR="008A17B6" w:rsidRPr="006520C2" w:rsidRDefault="00EC3991" w:rsidP="002B3773">
      <w:pPr>
        <w:ind w:left="567"/>
        <w:jc w:val="both"/>
        <w:rPr>
          <w:rFonts w:ascii="Arial" w:hAnsi="Arial" w:cs="Arial"/>
          <w:kern w:val="16"/>
          <w:sz w:val="22"/>
          <w:szCs w:val="22"/>
        </w:rPr>
      </w:pPr>
      <w:r>
        <w:rPr>
          <w:rFonts w:ascii="Arial" w:hAnsi="Arial" w:cs="Arial"/>
          <w:kern w:val="16"/>
          <w:sz w:val="22"/>
          <w:szCs w:val="22"/>
        </w:rPr>
        <w:t>Asimismo, s</w:t>
      </w:r>
      <w:r w:rsidR="002B3773">
        <w:rPr>
          <w:rFonts w:ascii="Arial" w:hAnsi="Arial" w:cs="Arial"/>
          <w:kern w:val="16"/>
          <w:sz w:val="22"/>
          <w:szCs w:val="22"/>
        </w:rPr>
        <w:t xml:space="preserve">e propone </w:t>
      </w:r>
      <w:r w:rsidR="008A17B6">
        <w:rPr>
          <w:rFonts w:ascii="Arial" w:hAnsi="Arial" w:cs="Arial"/>
          <w:kern w:val="16"/>
          <w:sz w:val="22"/>
          <w:szCs w:val="22"/>
        </w:rPr>
        <w:t>incorpora</w:t>
      </w:r>
      <w:r w:rsidR="002B3773">
        <w:rPr>
          <w:rFonts w:ascii="Arial" w:hAnsi="Arial" w:cs="Arial"/>
          <w:kern w:val="16"/>
          <w:sz w:val="22"/>
          <w:szCs w:val="22"/>
        </w:rPr>
        <w:t>r</w:t>
      </w:r>
      <w:r w:rsidR="008A17B6" w:rsidRPr="006520C2">
        <w:rPr>
          <w:rFonts w:ascii="Arial" w:hAnsi="Arial" w:cs="Arial"/>
          <w:kern w:val="16"/>
          <w:sz w:val="22"/>
          <w:szCs w:val="22"/>
        </w:rPr>
        <w:t xml:space="preserve"> </w:t>
      </w:r>
      <w:r w:rsidR="008A17B6">
        <w:rPr>
          <w:rFonts w:ascii="Arial" w:hAnsi="Arial" w:cs="Arial"/>
          <w:kern w:val="16"/>
          <w:sz w:val="22"/>
          <w:szCs w:val="22"/>
        </w:rPr>
        <w:t>el numeral 20.3</w:t>
      </w:r>
      <w:r w:rsidR="008A17B6" w:rsidRPr="006520C2">
        <w:rPr>
          <w:rFonts w:ascii="Arial" w:hAnsi="Arial" w:cs="Arial"/>
          <w:kern w:val="16"/>
          <w:sz w:val="22"/>
          <w:szCs w:val="22"/>
        </w:rPr>
        <w:t xml:space="preserve"> al mencionado artículo 20</w:t>
      </w:r>
      <w:r>
        <w:rPr>
          <w:rFonts w:ascii="Arial" w:hAnsi="Arial" w:cs="Arial"/>
          <w:kern w:val="16"/>
          <w:sz w:val="22"/>
          <w:szCs w:val="22"/>
        </w:rPr>
        <w:t>,</w:t>
      </w:r>
      <w:r w:rsidR="008A17B6" w:rsidRPr="006520C2">
        <w:rPr>
          <w:rFonts w:ascii="Arial" w:hAnsi="Arial" w:cs="Arial"/>
          <w:kern w:val="16"/>
          <w:sz w:val="22"/>
          <w:szCs w:val="22"/>
        </w:rPr>
        <w:t xml:space="preserve"> a </w:t>
      </w:r>
      <w:r>
        <w:rPr>
          <w:rFonts w:ascii="Arial" w:hAnsi="Arial" w:cs="Arial"/>
          <w:kern w:val="16"/>
          <w:sz w:val="22"/>
          <w:szCs w:val="22"/>
        </w:rPr>
        <w:t xml:space="preserve">fin </w:t>
      </w:r>
      <w:r w:rsidR="008A17B6" w:rsidRPr="006520C2">
        <w:rPr>
          <w:rFonts w:ascii="Arial" w:hAnsi="Arial" w:cs="Arial"/>
          <w:kern w:val="16"/>
          <w:sz w:val="22"/>
          <w:szCs w:val="22"/>
        </w:rPr>
        <w:t xml:space="preserve">de determinar que en el caso que el titular de actividad minera modifique el Plan de Cierre aprobado antes de transcurrido el plazo </w:t>
      </w:r>
      <w:r w:rsidR="002B3773">
        <w:rPr>
          <w:rFonts w:ascii="Arial" w:hAnsi="Arial" w:cs="Arial"/>
          <w:kern w:val="16"/>
          <w:sz w:val="22"/>
          <w:szCs w:val="22"/>
        </w:rPr>
        <w:t xml:space="preserve">de cinco años </w:t>
      </w:r>
      <w:r w:rsidR="008A17B6" w:rsidRPr="006520C2">
        <w:rPr>
          <w:rFonts w:ascii="Arial" w:hAnsi="Arial" w:cs="Arial"/>
          <w:kern w:val="16"/>
          <w:sz w:val="22"/>
          <w:szCs w:val="22"/>
        </w:rPr>
        <w:t>a que se refiere el numeral 20.1, en dicha modificación puede incluir la actualización del Plan de Cierre.</w:t>
      </w:r>
    </w:p>
    <w:p w:rsidR="009D6F4C" w:rsidRDefault="009D6F4C" w:rsidP="009D6F4C">
      <w:pPr>
        <w:ind w:left="567"/>
        <w:jc w:val="both"/>
        <w:rPr>
          <w:rFonts w:ascii="Arial" w:hAnsi="Arial" w:cs="Arial"/>
          <w:kern w:val="16"/>
          <w:sz w:val="22"/>
          <w:szCs w:val="22"/>
        </w:rPr>
      </w:pPr>
    </w:p>
    <w:p w:rsidR="002B3773" w:rsidRPr="002B3773" w:rsidRDefault="002B3773" w:rsidP="002B3773">
      <w:pPr>
        <w:numPr>
          <w:ilvl w:val="1"/>
          <w:numId w:val="2"/>
        </w:numPr>
        <w:ind w:left="567" w:hanging="567"/>
        <w:jc w:val="both"/>
        <w:rPr>
          <w:rFonts w:ascii="Arial" w:hAnsi="Arial" w:cs="Arial"/>
          <w:kern w:val="16"/>
          <w:sz w:val="22"/>
          <w:szCs w:val="22"/>
        </w:rPr>
      </w:pPr>
      <w:r>
        <w:rPr>
          <w:rFonts w:ascii="Arial" w:hAnsi="Arial" w:cs="Arial"/>
          <w:kern w:val="16"/>
          <w:sz w:val="22"/>
          <w:szCs w:val="22"/>
        </w:rPr>
        <w:t xml:space="preserve">Con relación a </w:t>
      </w:r>
      <w:r w:rsidRPr="002B3773">
        <w:rPr>
          <w:rFonts w:ascii="Arial" w:hAnsi="Arial" w:cs="Arial"/>
          <w:kern w:val="16"/>
          <w:sz w:val="22"/>
          <w:szCs w:val="22"/>
        </w:rPr>
        <w:t>los artículos 50 y 51 del Reglamento para el Cierre de Minas</w:t>
      </w:r>
      <w:r>
        <w:rPr>
          <w:rFonts w:ascii="Arial" w:hAnsi="Arial" w:cs="Arial"/>
          <w:kern w:val="16"/>
          <w:sz w:val="22"/>
          <w:szCs w:val="22"/>
        </w:rPr>
        <w:t xml:space="preserve">, </w:t>
      </w:r>
      <w:r w:rsidRPr="002B3773">
        <w:rPr>
          <w:rFonts w:ascii="Arial" w:hAnsi="Arial" w:cs="Arial"/>
          <w:kern w:val="16"/>
          <w:sz w:val="22"/>
          <w:szCs w:val="22"/>
        </w:rPr>
        <w:t>el artículo 50 del referido Reglamento establece que la garantía ambiental que asegure el cumplimiento de ejecución del cierre, se constituye a partir del año siguiente a la fecha de aprobación o modificación del Plan de Cierre de Minas, dentro de los primeros doce días hábiles de cada año, mientras que, el artículo 51 regula lo referido al c</w:t>
      </w:r>
      <w:r>
        <w:rPr>
          <w:rFonts w:ascii="Arial" w:hAnsi="Arial" w:cs="Arial"/>
          <w:kern w:val="16"/>
          <w:sz w:val="22"/>
          <w:szCs w:val="22"/>
        </w:rPr>
        <w:t>álculo del monto de la garantía.</w:t>
      </w:r>
    </w:p>
    <w:p w:rsidR="002B3773" w:rsidRPr="002B3773" w:rsidRDefault="002B3773" w:rsidP="002B3773">
      <w:pPr>
        <w:ind w:left="1070"/>
        <w:jc w:val="both"/>
        <w:rPr>
          <w:rFonts w:ascii="Arial" w:hAnsi="Arial" w:cs="Arial"/>
          <w:kern w:val="16"/>
          <w:sz w:val="22"/>
          <w:szCs w:val="22"/>
        </w:rPr>
      </w:pPr>
    </w:p>
    <w:p w:rsidR="002B3773" w:rsidRDefault="00EC3991" w:rsidP="002B3773">
      <w:pPr>
        <w:ind w:left="567"/>
        <w:jc w:val="both"/>
        <w:rPr>
          <w:rFonts w:ascii="Arial" w:hAnsi="Arial" w:cs="Arial"/>
          <w:kern w:val="16"/>
          <w:sz w:val="22"/>
          <w:szCs w:val="22"/>
        </w:rPr>
      </w:pPr>
      <w:r>
        <w:rPr>
          <w:rFonts w:ascii="Arial" w:hAnsi="Arial" w:cs="Arial"/>
          <w:kern w:val="16"/>
          <w:sz w:val="22"/>
          <w:szCs w:val="22"/>
        </w:rPr>
        <w:t xml:space="preserve">De conformidad con la normativa vigente, </w:t>
      </w:r>
      <w:r w:rsidR="002B3773">
        <w:rPr>
          <w:rFonts w:ascii="Arial" w:hAnsi="Arial" w:cs="Arial"/>
          <w:kern w:val="16"/>
          <w:sz w:val="22"/>
          <w:szCs w:val="22"/>
        </w:rPr>
        <w:t>p</w:t>
      </w:r>
      <w:r w:rsidR="002B3773" w:rsidRPr="002B3773">
        <w:rPr>
          <w:rFonts w:ascii="Arial" w:hAnsi="Arial" w:cs="Arial"/>
          <w:kern w:val="16"/>
          <w:sz w:val="22"/>
          <w:szCs w:val="22"/>
        </w:rPr>
        <w:t>ara la ejecución del Plan de Cierre de Minas se requiere contar previamente con la autorización para el inicio de la actividad a realizar, siendo que en la mayoría de los casos, la referida autorización se otorga hasta doce meses después de haberse aprobado el Plan de Ci</w:t>
      </w:r>
      <w:r w:rsidR="002B3773">
        <w:rPr>
          <w:rFonts w:ascii="Arial" w:hAnsi="Arial" w:cs="Arial"/>
          <w:kern w:val="16"/>
          <w:sz w:val="22"/>
          <w:szCs w:val="22"/>
        </w:rPr>
        <w:t xml:space="preserve">erre de Minas o su modificación. </w:t>
      </w:r>
      <w:r w:rsidR="00FF4D78">
        <w:rPr>
          <w:rFonts w:ascii="Arial" w:hAnsi="Arial" w:cs="Arial"/>
          <w:kern w:val="16"/>
          <w:sz w:val="22"/>
          <w:szCs w:val="22"/>
        </w:rPr>
        <w:t>D</w:t>
      </w:r>
      <w:r w:rsidR="002B3773" w:rsidRPr="002B3773">
        <w:rPr>
          <w:rFonts w:ascii="Arial" w:hAnsi="Arial" w:cs="Arial"/>
          <w:kern w:val="16"/>
          <w:sz w:val="22"/>
          <w:szCs w:val="22"/>
        </w:rPr>
        <w:t>urante dicho periodo, a pesar de no existir riesgo ambiental al no ejecutarse ninguna obra vinculada con el Plan de Cierre de Minas, se obliga al titular de actividad minera a mantener vigente la garantía, lo cual no resulta eficiente para la finalid</w:t>
      </w:r>
      <w:r w:rsidR="00FF4D78">
        <w:rPr>
          <w:rFonts w:ascii="Arial" w:hAnsi="Arial" w:cs="Arial"/>
          <w:kern w:val="16"/>
          <w:sz w:val="22"/>
          <w:szCs w:val="22"/>
        </w:rPr>
        <w:t>ad que persigue su constitución.</w:t>
      </w:r>
    </w:p>
    <w:p w:rsidR="00FF4D78" w:rsidRPr="002B3773" w:rsidRDefault="00FF4D78" w:rsidP="002B3773">
      <w:pPr>
        <w:ind w:left="567"/>
        <w:jc w:val="both"/>
        <w:rPr>
          <w:rFonts w:ascii="Arial" w:hAnsi="Arial" w:cs="Arial"/>
          <w:kern w:val="16"/>
          <w:sz w:val="22"/>
          <w:szCs w:val="22"/>
        </w:rPr>
      </w:pPr>
    </w:p>
    <w:p w:rsidR="009D6F4C" w:rsidRDefault="00566819" w:rsidP="00FF4D78">
      <w:pPr>
        <w:ind w:left="567"/>
        <w:jc w:val="both"/>
        <w:rPr>
          <w:rFonts w:ascii="Arial" w:hAnsi="Arial" w:cs="Arial"/>
          <w:kern w:val="16"/>
          <w:sz w:val="22"/>
          <w:szCs w:val="22"/>
        </w:rPr>
      </w:pPr>
      <w:r w:rsidRPr="00FF4D78">
        <w:rPr>
          <w:rFonts w:ascii="Arial" w:hAnsi="Arial" w:cs="Arial"/>
          <w:kern w:val="16"/>
          <w:sz w:val="22"/>
          <w:szCs w:val="22"/>
        </w:rPr>
        <w:t xml:space="preserve">En ese sentido, </w:t>
      </w:r>
      <w:r w:rsidR="00FF4D78" w:rsidRPr="00FF4D78">
        <w:rPr>
          <w:rFonts w:ascii="Arial" w:hAnsi="Arial" w:cs="Arial"/>
          <w:kern w:val="16"/>
          <w:sz w:val="22"/>
          <w:szCs w:val="22"/>
        </w:rPr>
        <w:t>esta medida no resulta consistente con el principio de razonabilidad previsto en el numeral 1.4 del artículo IV del Título Preliminar del Texto Único Ordenado de la Ley del Procedimiento Administrativo General, aprobado por Decreto Supremo N° 006-2017-JUS, que establece que las decisiones de la autoridad administrativa, cuando creen obligaciones, califiquen infracciones, impongan sanciones, o establezcan restricciones a los administrados, deben adaptarse dentro de los límites de la facultad atribuida y manteniendo la debida proporción entre los medios a emplear y los fines públicos que deba tutelar, a fin de que respondan a lo estrictamente necesario para la satisfacción de su cometido</w:t>
      </w:r>
      <w:r w:rsidR="00FF4D78">
        <w:rPr>
          <w:rFonts w:ascii="Arial" w:hAnsi="Arial" w:cs="Arial"/>
          <w:kern w:val="16"/>
          <w:sz w:val="22"/>
          <w:szCs w:val="22"/>
        </w:rPr>
        <w:t>.</w:t>
      </w:r>
    </w:p>
    <w:p w:rsidR="00FF4D78" w:rsidRPr="00FF4D78" w:rsidRDefault="00FF4D78" w:rsidP="00FF4D78">
      <w:pPr>
        <w:ind w:left="567"/>
        <w:jc w:val="both"/>
        <w:rPr>
          <w:rFonts w:ascii="Arial" w:hAnsi="Arial" w:cs="Arial"/>
          <w:kern w:val="16"/>
          <w:sz w:val="22"/>
          <w:szCs w:val="22"/>
        </w:rPr>
      </w:pPr>
    </w:p>
    <w:p w:rsidR="00FF4D78" w:rsidRDefault="00FF4D78" w:rsidP="00FF4D78">
      <w:pPr>
        <w:ind w:left="567"/>
        <w:jc w:val="both"/>
        <w:rPr>
          <w:rFonts w:ascii="Arial" w:hAnsi="Arial" w:cs="Arial"/>
          <w:kern w:val="16"/>
          <w:sz w:val="22"/>
          <w:szCs w:val="22"/>
        </w:rPr>
      </w:pPr>
      <w:r>
        <w:rPr>
          <w:rFonts w:ascii="Arial" w:hAnsi="Arial" w:cs="Arial"/>
          <w:kern w:val="16"/>
          <w:sz w:val="22"/>
          <w:szCs w:val="22"/>
        </w:rPr>
        <w:t xml:space="preserve">En consecuencia, </w:t>
      </w:r>
      <w:r w:rsidRPr="00FF4D78">
        <w:rPr>
          <w:rFonts w:ascii="Arial" w:hAnsi="Arial" w:cs="Arial"/>
          <w:kern w:val="16"/>
          <w:sz w:val="22"/>
          <w:szCs w:val="22"/>
        </w:rPr>
        <w:t>considerando que mientras aún no se ejecutan actividades, no se generan impactos de naturaleza alguna en la zona del proyecto; resulta necesario modificar los artículos 50 y 51 del Reglamento para el Cierre de Minas</w:t>
      </w:r>
      <w:r>
        <w:rPr>
          <w:rFonts w:ascii="Arial" w:hAnsi="Arial" w:cs="Arial"/>
          <w:kern w:val="16"/>
          <w:sz w:val="22"/>
          <w:szCs w:val="22"/>
        </w:rPr>
        <w:t>:</w:t>
      </w:r>
    </w:p>
    <w:p w:rsidR="00FF4D78" w:rsidRDefault="00FF4D78" w:rsidP="00FF4D78">
      <w:pPr>
        <w:ind w:left="567"/>
        <w:jc w:val="both"/>
        <w:rPr>
          <w:rFonts w:ascii="Arial" w:hAnsi="Arial" w:cs="Arial"/>
          <w:kern w:val="16"/>
          <w:sz w:val="22"/>
          <w:szCs w:val="22"/>
        </w:rPr>
      </w:pPr>
    </w:p>
    <w:p w:rsidR="00FF4D78" w:rsidRDefault="00FF4D78" w:rsidP="00FF4D78">
      <w:pPr>
        <w:pStyle w:val="Prrafodelista"/>
        <w:numPr>
          <w:ilvl w:val="0"/>
          <w:numId w:val="12"/>
        </w:numPr>
        <w:ind w:left="993"/>
        <w:jc w:val="both"/>
        <w:rPr>
          <w:rFonts w:ascii="Arial" w:hAnsi="Arial" w:cs="Arial"/>
          <w:kern w:val="16"/>
          <w:sz w:val="22"/>
          <w:szCs w:val="22"/>
        </w:rPr>
      </w:pPr>
      <w:r w:rsidRPr="00FF4D78">
        <w:rPr>
          <w:rFonts w:ascii="Arial" w:hAnsi="Arial" w:cs="Arial"/>
          <w:kern w:val="16"/>
          <w:sz w:val="22"/>
          <w:szCs w:val="22"/>
        </w:rPr>
        <w:t xml:space="preserve">Estableciendo que la garantía ambiental sea constituida cuando la autoridad competente autorice la construcción de la Concesión de Beneficio o autorice el inicio de actividades de explotación o exploración, de ser el caso. </w:t>
      </w:r>
    </w:p>
    <w:p w:rsidR="00FF4D78" w:rsidRDefault="00FF4D78" w:rsidP="00FF4D78">
      <w:pPr>
        <w:pStyle w:val="Prrafodelista"/>
        <w:ind w:left="993"/>
        <w:jc w:val="both"/>
        <w:rPr>
          <w:rFonts w:ascii="Arial" w:hAnsi="Arial" w:cs="Arial"/>
          <w:kern w:val="16"/>
          <w:sz w:val="22"/>
          <w:szCs w:val="22"/>
        </w:rPr>
      </w:pPr>
    </w:p>
    <w:p w:rsidR="007601E4" w:rsidRPr="00FF4D78" w:rsidRDefault="00D37ED9" w:rsidP="00FF4D78">
      <w:pPr>
        <w:pStyle w:val="Prrafodelista"/>
        <w:numPr>
          <w:ilvl w:val="0"/>
          <w:numId w:val="12"/>
        </w:numPr>
        <w:ind w:left="993"/>
        <w:jc w:val="both"/>
        <w:rPr>
          <w:rFonts w:ascii="Arial" w:hAnsi="Arial" w:cs="Arial"/>
          <w:kern w:val="16"/>
          <w:sz w:val="22"/>
          <w:szCs w:val="22"/>
        </w:rPr>
      </w:pPr>
      <w:r w:rsidRPr="00FF4D78">
        <w:rPr>
          <w:rFonts w:ascii="Arial" w:hAnsi="Arial" w:cs="Arial"/>
          <w:kern w:val="16"/>
          <w:sz w:val="22"/>
          <w:szCs w:val="22"/>
        </w:rPr>
        <w:t xml:space="preserve">Excepcionalmente, </w:t>
      </w:r>
      <w:r w:rsidR="00754B2F">
        <w:rPr>
          <w:rFonts w:ascii="Arial" w:hAnsi="Arial" w:cs="Arial"/>
          <w:kern w:val="16"/>
          <w:sz w:val="22"/>
          <w:szCs w:val="22"/>
        </w:rPr>
        <w:t>aun</w:t>
      </w:r>
      <w:r w:rsidR="00FF4D78">
        <w:rPr>
          <w:rFonts w:ascii="Arial" w:hAnsi="Arial" w:cs="Arial"/>
          <w:kern w:val="16"/>
          <w:sz w:val="22"/>
          <w:szCs w:val="22"/>
        </w:rPr>
        <w:t xml:space="preserve"> cuando se </w:t>
      </w:r>
      <w:r w:rsidR="0046675A" w:rsidRPr="00FF4D78">
        <w:rPr>
          <w:rFonts w:ascii="Arial" w:hAnsi="Arial" w:cs="Arial"/>
          <w:kern w:val="16"/>
          <w:sz w:val="22"/>
          <w:szCs w:val="22"/>
        </w:rPr>
        <w:t>h</w:t>
      </w:r>
      <w:r w:rsidR="00FF4D78">
        <w:rPr>
          <w:rFonts w:ascii="Arial" w:hAnsi="Arial" w:cs="Arial"/>
          <w:kern w:val="16"/>
          <w:sz w:val="22"/>
          <w:szCs w:val="22"/>
        </w:rPr>
        <w:t xml:space="preserve">ubiese </w:t>
      </w:r>
      <w:r w:rsidR="0046675A" w:rsidRPr="00FF4D78">
        <w:rPr>
          <w:rFonts w:ascii="Arial" w:hAnsi="Arial" w:cs="Arial"/>
          <w:kern w:val="16"/>
          <w:sz w:val="22"/>
          <w:szCs w:val="22"/>
        </w:rPr>
        <w:t xml:space="preserve">autorizado la construcción </w:t>
      </w:r>
      <w:r w:rsidR="007601E4" w:rsidRPr="00FF4D78">
        <w:rPr>
          <w:rFonts w:ascii="Arial" w:hAnsi="Arial" w:cs="Arial"/>
          <w:kern w:val="16"/>
          <w:sz w:val="22"/>
          <w:szCs w:val="22"/>
        </w:rPr>
        <w:t xml:space="preserve">de la </w:t>
      </w:r>
      <w:r w:rsidR="0046675A" w:rsidRPr="00FF4D78">
        <w:rPr>
          <w:rFonts w:ascii="Arial" w:hAnsi="Arial" w:cs="Arial"/>
          <w:kern w:val="16"/>
          <w:sz w:val="22"/>
          <w:szCs w:val="22"/>
        </w:rPr>
        <w:t xml:space="preserve">concesión de beneficio, o la autorización de actividades de exploración o autorización de las actividades de explotación, el titular minero se ve impedido de iniciar actividades </w:t>
      </w:r>
      <w:r w:rsidR="00FF4D78">
        <w:rPr>
          <w:rFonts w:ascii="Arial" w:hAnsi="Arial" w:cs="Arial"/>
          <w:kern w:val="16"/>
          <w:sz w:val="22"/>
          <w:szCs w:val="22"/>
        </w:rPr>
        <w:t xml:space="preserve">por causas derivadas de hechos </w:t>
      </w:r>
      <w:r w:rsidRPr="00FF4D78">
        <w:rPr>
          <w:rFonts w:ascii="Arial" w:hAnsi="Arial" w:cs="Arial"/>
          <w:kern w:val="16"/>
          <w:sz w:val="22"/>
          <w:szCs w:val="22"/>
        </w:rPr>
        <w:t>fortuito</w:t>
      </w:r>
      <w:r w:rsidR="00FF4D78">
        <w:rPr>
          <w:rFonts w:ascii="Arial" w:hAnsi="Arial" w:cs="Arial"/>
          <w:kern w:val="16"/>
          <w:sz w:val="22"/>
          <w:szCs w:val="22"/>
        </w:rPr>
        <w:t>s</w:t>
      </w:r>
      <w:r w:rsidRPr="00FF4D78">
        <w:rPr>
          <w:rFonts w:ascii="Arial" w:hAnsi="Arial" w:cs="Arial"/>
          <w:kern w:val="16"/>
          <w:sz w:val="22"/>
          <w:szCs w:val="22"/>
        </w:rPr>
        <w:t xml:space="preserve"> o </w:t>
      </w:r>
      <w:r w:rsidR="00FF4D78">
        <w:rPr>
          <w:rFonts w:ascii="Arial" w:hAnsi="Arial" w:cs="Arial"/>
          <w:kern w:val="16"/>
          <w:sz w:val="22"/>
          <w:szCs w:val="22"/>
        </w:rPr>
        <w:t xml:space="preserve">de </w:t>
      </w:r>
      <w:r w:rsidRPr="00FF4D78">
        <w:rPr>
          <w:rFonts w:ascii="Arial" w:hAnsi="Arial" w:cs="Arial"/>
          <w:kern w:val="16"/>
          <w:sz w:val="22"/>
          <w:szCs w:val="22"/>
        </w:rPr>
        <w:t>fuerza mayor</w:t>
      </w:r>
      <w:r w:rsidR="0046675A" w:rsidRPr="00FF4D78">
        <w:rPr>
          <w:rFonts w:ascii="Arial" w:hAnsi="Arial" w:cs="Arial"/>
          <w:kern w:val="16"/>
          <w:sz w:val="22"/>
          <w:szCs w:val="22"/>
        </w:rPr>
        <w:t xml:space="preserve">, por lo que </w:t>
      </w:r>
      <w:r w:rsidR="00FF4D78">
        <w:rPr>
          <w:rFonts w:ascii="Arial" w:hAnsi="Arial" w:cs="Arial"/>
          <w:kern w:val="16"/>
          <w:sz w:val="22"/>
          <w:szCs w:val="22"/>
        </w:rPr>
        <w:t xml:space="preserve">se propone incorporar en el </w:t>
      </w:r>
      <w:r w:rsidR="0046675A" w:rsidRPr="00FF4D78">
        <w:rPr>
          <w:rFonts w:ascii="Arial" w:hAnsi="Arial" w:cs="Arial"/>
          <w:kern w:val="16"/>
          <w:sz w:val="22"/>
          <w:szCs w:val="22"/>
        </w:rPr>
        <w:t>numeral 50.3</w:t>
      </w:r>
      <w:r w:rsidR="00FF4D78">
        <w:rPr>
          <w:rFonts w:ascii="Arial" w:hAnsi="Arial" w:cs="Arial"/>
          <w:kern w:val="16"/>
          <w:sz w:val="22"/>
          <w:szCs w:val="22"/>
        </w:rPr>
        <w:t>,</w:t>
      </w:r>
      <w:r w:rsidR="0046675A" w:rsidRPr="00FF4D78">
        <w:rPr>
          <w:rFonts w:ascii="Arial" w:hAnsi="Arial" w:cs="Arial"/>
          <w:kern w:val="16"/>
          <w:sz w:val="22"/>
          <w:szCs w:val="22"/>
        </w:rPr>
        <w:t xml:space="preserve"> </w:t>
      </w:r>
      <w:r w:rsidR="007601E4" w:rsidRPr="00FF4D78">
        <w:rPr>
          <w:rFonts w:ascii="Arial" w:hAnsi="Arial" w:cs="Arial"/>
          <w:kern w:val="16"/>
          <w:sz w:val="22"/>
          <w:szCs w:val="22"/>
        </w:rPr>
        <w:t xml:space="preserve">la posibilidad de que el titular minero pueda eximirse de la constitución de la garantía dentro del plazo señalado en el numeral 50.1, en caso se acredite </w:t>
      </w:r>
      <w:r w:rsidR="00FF4D78">
        <w:rPr>
          <w:rFonts w:ascii="Arial" w:hAnsi="Arial" w:cs="Arial"/>
          <w:kern w:val="16"/>
          <w:sz w:val="22"/>
          <w:szCs w:val="22"/>
        </w:rPr>
        <w:t xml:space="preserve">la configuración de </w:t>
      </w:r>
      <w:r w:rsidR="007601E4" w:rsidRPr="00FF4D78">
        <w:rPr>
          <w:rFonts w:ascii="Arial" w:hAnsi="Arial" w:cs="Arial"/>
          <w:kern w:val="16"/>
          <w:sz w:val="22"/>
          <w:szCs w:val="22"/>
        </w:rPr>
        <w:t>un supuesto de caso fortuito o fuerza mayor.</w:t>
      </w:r>
    </w:p>
    <w:p w:rsidR="00360BBD" w:rsidRDefault="00360BBD" w:rsidP="00360BBD">
      <w:pPr>
        <w:ind w:left="567"/>
        <w:jc w:val="both"/>
        <w:rPr>
          <w:rFonts w:ascii="Arial" w:hAnsi="Arial" w:cs="Arial"/>
          <w:kern w:val="16"/>
          <w:sz w:val="22"/>
          <w:szCs w:val="22"/>
        </w:rPr>
      </w:pPr>
    </w:p>
    <w:p w:rsidR="00F25548" w:rsidRDefault="007601E4" w:rsidP="00FF4D78">
      <w:pPr>
        <w:ind w:left="567"/>
        <w:jc w:val="both"/>
        <w:rPr>
          <w:rFonts w:ascii="Arial" w:hAnsi="Arial" w:cs="Arial"/>
          <w:kern w:val="16"/>
          <w:sz w:val="22"/>
          <w:szCs w:val="22"/>
        </w:rPr>
      </w:pPr>
      <w:r w:rsidRPr="00AD4707">
        <w:rPr>
          <w:rFonts w:ascii="Arial" w:hAnsi="Arial" w:cs="Arial"/>
          <w:kern w:val="16"/>
          <w:sz w:val="22"/>
          <w:szCs w:val="22"/>
        </w:rPr>
        <w:t xml:space="preserve">Finalmente, y en </w:t>
      </w:r>
      <w:r w:rsidR="00FF4D78">
        <w:rPr>
          <w:rFonts w:ascii="Arial" w:hAnsi="Arial" w:cs="Arial"/>
          <w:kern w:val="16"/>
          <w:sz w:val="22"/>
          <w:szCs w:val="22"/>
        </w:rPr>
        <w:t xml:space="preserve">concordancia con </w:t>
      </w:r>
      <w:r w:rsidRPr="00AD4707">
        <w:rPr>
          <w:rFonts w:ascii="Arial" w:hAnsi="Arial" w:cs="Arial"/>
          <w:kern w:val="16"/>
          <w:sz w:val="22"/>
          <w:szCs w:val="22"/>
        </w:rPr>
        <w:t xml:space="preserve">la modificación </w:t>
      </w:r>
      <w:r w:rsidR="00FF4D78">
        <w:rPr>
          <w:rFonts w:ascii="Arial" w:hAnsi="Arial" w:cs="Arial"/>
          <w:kern w:val="16"/>
          <w:sz w:val="22"/>
          <w:szCs w:val="22"/>
        </w:rPr>
        <w:t xml:space="preserve">contenida en </w:t>
      </w:r>
      <w:r w:rsidRPr="00AD4707">
        <w:rPr>
          <w:rFonts w:ascii="Arial" w:hAnsi="Arial" w:cs="Arial"/>
          <w:kern w:val="16"/>
          <w:sz w:val="22"/>
          <w:szCs w:val="22"/>
        </w:rPr>
        <w:t>el artículo 50 del Reglamento del Plan de Cierre de Minas, se ha eliminado del artículo 51 el párrafo referido al plazo para la constitución de</w:t>
      </w:r>
      <w:r w:rsidR="00AD4707" w:rsidRPr="00AD4707">
        <w:rPr>
          <w:rFonts w:ascii="Arial" w:hAnsi="Arial" w:cs="Arial"/>
          <w:kern w:val="16"/>
          <w:sz w:val="22"/>
          <w:szCs w:val="22"/>
        </w:rPr>
        <w:t>l primer aporte de</w:t>
      </w:r>
      <w:r w:rsidRPr="00AD4707">
        <w:rPr>
          <w:rFonts w:ascii="Arial" w:hAnsi="Arial" w:cs="Arial"/>
          <w:kern w:val="16"/>
          <w:sz w:val="22"/>
          <w:szCs w:val="22"/>
        </w:rPr>
        <w:t xml:space="preserve"> la garantía</w:t>
      </w:r>
      <w:r w:rsidR="00AD4707">
        <w:rPr>
          <w:rFonts w:ascii="Arial" w:hAnsi="Arial" w:cs="Arial"/>
          <w:kern w:val="16"/>
          <w:sz w:val="22"/>
          <w:szCs w:val="22"/>
        </w:rPr>
        <w:t>.</w:t>
      </w:r>
    </w:p>
    <w:p w:rsidR="003E6CD1" w:rsidRDefault="003E6CD1" w:rsidP="009D6F4C">
      <w:pPr>
        <w:jc w:val="both"/>
        <w:rPr>
          <w:rFonts w:ascii="Arial" w:hAnsi="Arial" w:cs="Arial"/>
          <w:kern w:val="16"/>
          <w:sz w:val="22"/>
          <w:szCs w:val="22"/>
        </w:rPr>
      </w:pPr>
    </w:p>
    <w:p w:rsidR="00774A83" w:rsidRDefault="002636B0" w:rsidP="002636B0">
      <w:pPr>
        <w:pStyle w:val="Prrafodelista"/>
        <w:numPr>
          <w:ilvl w:val="1"/>
          <w:numId w:val="2"/>
        </w:numPr>
        <w:ind w:left="567" w:hanging="567"/>
        <w:jc w:val="both"/>
        <w:rPr>
          <w:rFonts w:ascii="Arial" w:hAnsi="Arial" w:cs="Arial"/>
          <w:kern w:val="16"/>
          <w:sz w:val="22"/>
          <w:szCs w:val="22"/>
          <w:highlight w:val="yellow"/>
        </w:rPr>
      </w:pPr>
      <w:r w:rsidRPr="00AB411C">
        <w:rPr>
          <w:rFonts w:ascii="Arial" w:hAnsi="Arial" w:cs="Arial"/>
          <w:kern w:val="16"/>
          <w:sz w:val="22"/>
          <w:szCs w:val="22"/>
          <w:highlight w:val="yellow"/>
        </w:rPr>
        <w:t>Asimismo, se propone la incorporación de una disposición complementaria final referida a la adecuación de</w:t>
      </w:r>
      <w:r w:rsidR="00AB411C" w:rsidRPr="00AB411C">
        <w:rPr>
          <w:rFonts w:ascii="Arial" w:hAnsi="Arial" w:cs="Arial"/>
          <w:kern w:val="16"/>
          <w:sz w:val="22"/>
          <w:szCs w:val="22"/>
          <w:highlight w:val="yellow"/>
        </w:rPr>
        <w:t xml:space="preserve"> componentes</w:t>
      </w:r>
      <w:r w:rsidRPr="00AB411C">
        <w:rPr>
          <w:rFonts w:ascii="Arial" w:hAnsi="Arial" w:cs="Arial"/>
          <w:kern w:val="16"/>
          <w:sz w:val="22"/>
          <w:szCs w:val="22"/>
          <w:highlight w:val="yellow"/>
        </w:rPr>
        <w:t xml:space="preserve"> </w:t>
      </w:r>
      <w:r w:rsidR="00AB411C">
        <w:rPr>
          <w:rFonts w:ascii="Arial" w:hAnsi="Arial" w:cs="Arial"/>
          <w:kern w:val="16"/>
          <w:sz w:val="22"/>
          <w:szCs w:val="22"/>
          <w:highlight w:val="yellow"/>
        </w:rPr>
        <w:t>o modificaciones al proyecto</w:t>
      </w:r>
      <w:r w:rsidR="00774A83">
        <w:rPr>
          <w:rFonts w:ascii="Arial" w:hAnsi="Arial" w:cs="Arial"/>
          <w:kern w:val="16"/>
          <w:sz w:val="22"/>
          <w:szCs w:val="22"/>
          <w:highlight w:val="yellow"/>
        </w:rPr>
        <w:t xml:space="preserve"> minero</w:t>
      </w:r>
      <w:r w:rsidR="00AB411C">
        <w:rPr>
          <w:rFonts w:ascii="Arial" w:hAnsi="Arial" w:cs="Arial"/>
          <w:kern w:val="16"/>
          <w:sz w:val="22"/>
          <w:szCs w:val="22"/>
          <w:highlight w:val="yellow"/>
        </w:rPr>
        <w:t xml:space="preserve"> </w:t>
      </w:r>
      <w:r w:rsidR="00AB411C" w:rsidRPr="00AB411C">
        <w:rPr>
          <w:rFonts w:ascii="Arial" w:hAnsi="Arial" w:cs="Arial"/>
          <w:kern w:val="16"/>
          <w:sz w:val="22"/>
          <w:szCs w:val="22"/>
          <w:highlight w:val="yellow"/>
        </w:rPr>
        <w:t xml:space="preserve">sin haber obtenido de manera previa la aprobación </w:t>
      </w:r>
      <w:r w:rsidR="00AB411C">
        <w:rPr>
          <w:rFonts w:ascii="Arial" w:hAnsi="Arial" w:cs="Arial"/>
          <w:kern w:val="16"/>
          <w:sz w:val="22"/>
          <w:szCs w:val="22"/>
          <w:highlight w:val="yellow"/>
        </w:rPr>
        <w:t xml:space="preserve">ambiental </w:t>
      </w:r>
      <w:r w:rsidR="00AB411C" w:rsidRPr="00AB411C">
        <w:rPr>
          <w:rFonts w:ascii="Arial" w:hAnsi="Arial" w:cs="Arial"/>
          <w:kern w:val="16"/>
          <w:sz w:val="22"/>
          <w:szCs w:val="22"/>
          <w:highlight w:val="yellow"/>
        </w:rPr>
        <w:t>correspondiente, deb</w:t>
      </w:r>
      <w:r w:rsidR="00774A83">
        <w:rPr>
          <w:rFonts w:ascii="Arial" w:hAnsi="Arial" w:cs="Arial"/>
          <w:kern w:val="16"/>
          <w:sz w:val="22"/>
          <w:szCs w:val="22"/>
          <w:highlight w:val="yellow"/>
        </w:rPr>
        <w:t>i</w:t>
      </w:r>
      <w:r w:rsidR="00AB411C" w:rsidRPr="00AB411C">
        <w:rPr>
          <w:rFonts w:ascii="Arial" w:hAnsi="Arial" w:cs="Arial"/>
          <w:kern w:val="16"/>
          <w:sz w:val="22"/>
          <w:szCs w:val="22"/>
          <w:highlight w:val="yellow"/>
        </w:rPr>
        <w:t>e</w:t>
      </w:r>
      <w:r w:rsidR="00774A83">
        <w:rPr>
          <w:rFonts w:ascii="Arial" w:hAnsi="Arial" w:cs="Arial"/>
          <w:kern w:val="16"/>
          <w:sz w:val="22"/>
          <w:szCs w:val="22"/>
          <w:highlight w:val="yellow"/>
        </w:rPr>
        <w:t>ndo el titular de actividad minera</w:t>
      </w:r>
      <w:r w:rsidR="00AB411C" w:rsidRPr="00AB411C">
        <w:rPr>
          <w:rFonts w:ascii="Arial" w:hAnsi="Arial" w:cs="Arial"/>
          <w:kern w:val="16"/>
          <w:sz w:val="22"/>
          <w:szCs w:val="22"/>
          <w:highlight w:val="yellow"/>
        </w:rPr>
        <w:t xml:space="preserve"> comunicar dicho hecho ante la autoridad ambiental sectorial y la autoridad de supervisión y fiscalización ambiental, en el plazo máximo de treinta (30) días calendario</w:t>
      </w:r>
      <w:r w:rsidRPr="00AB411C">
        <w:rPr>
          <w:rFonts w:ascii="Arial" w:hAnsi="Arial" w:cs="Arial"/>
          <w:kern w:val="16"/>
          <w:sz w:val="22"/>
          <w:szCs w:val="22"/>
          <w:highlight w:val="yellow"/>
        </w:rPr>
        <w:t xml:space="preserve"> días para luego presentar </w:t>
      </w:r>
      <w:r w:rsidR="00AB411C" w:rsidRPr="00AB411C">
        <w:rPr>
          <w:rFonts w:ascii="Arial" w:hAnsi="Arial" w:cs="Arial"/>
          <w:kern w:val="16"/>
          <w:sz w:val="22"/>
          <w:szCs w:val="22"/>
          <w:highlight w:val="yellow"/>
        </w:rPr>
        <w:t xml:space="preserve">un </w:t>
      </w:r>
      <w:r w:rsidR="00AB411C" w:rsidRPr="00AB411C">
        <w:rPr>
          <w:rFonts w:ascii="Arial" w:hAnsi="Arial" w:cs="Arial"/>
          <w:kern w:val="16"/>
          <w:sz w:val="22"/>
          <w:szCs w:val="22"/>
          <w:highlight w:val="yellow"/>
        </w:rPr>
        <w:t>Plan Ambiental Detallado (PA-d)</w:t>
      </w:r>
      <w:r w:rsidR="00AB411C">
        <w:rPr>
          <w:rFonts w:ascii="Arial" w:hAnsi="Arial" w:cs="Arial"/>
          <w:kern w:val="16"/>
          <w:sz w:val="22"/>
          <w:szCs w:val="22"/>
          <w:highlight w:val="yellow"/>
        </w:rPr>
        <w:t xml:space="preserve"> </w:t>
      </w:r>
      <w:r w:rsidRPr="00AB411C">
        <w:rPr>
          <w:rFonts w:ascii="Arial" w:hAnsi="Arial" w:cs="Arial"/>
          <w:kern w:val="16"/>
          <w:sz w:val="22"/>
          <w:szCs w:val="22"/>
          <w:highlight w:val="yellow"/>
        </w:rPr>
        <w:t xml:space="preserve">en el plazo de </w:t>
      </w:r>
      <w:r w:rsidR="00AB411C" w:rsidRPr="00AB411C">
        <w:rPr>
          <w:rFonts w:ascii="Arial" w:hAnsi="Arial" w:cs="Arial"/>
          <w:kern w:val="16"/>
          <w:sz w:val="22"/>
          <w:szCs w:val="22"/>
          <w:highlight w:val="yellow"/>
        </w:rPr>
        <w:t>ciento ochenta (180) días calendario</w:t>
      </w:r>
      <w:r w:rsidR="00774A83">
        <w:rPr>
          <w:rFonts w:ascii="Arial" w:hAnsi="Arial" w:cs="Arial"/>
          <w:kern w:val="16"/>
          <w:sz w:val="22"/>
          <w:szCs w:val="22"/>
          <w:highlight w:val="yellow"/>
        </w:rPr>
        <w:t>.</w:t>
      </w:r>
    </w:p>
    <w:p w:rsidR="00774A83" w:rsidRDefault="00774A83" w:rsidP="00774A83">
      <w:pPr>
        <w:pStyle w:val="Prrafodelista"/>
        <w:ind w:left="567"/>
        <w:jc w:val="both"/>
        <w:rPr>
          <w:rFonts w:ascii="Arial" w:hAnsi="Arial" w:cs="Arial"/>
          <w:kern w:val="16"/>
          <w:sz w:val="22"/>
          <w:szCs w:val="22"/>
          <w:highlight w:val="yellow"/>
        </w:rPr>
      </w:pPr>
    </w:p>
    <w:p w:rsidR="002636B0" w:rsidRPr="00AB411C" w:rsidRDefault="00774A83" w:rsidP="00774A83">
      <w:pPr>
        <w:pStyle w:val="Prrafodelista"/>
        <w:ind w:left="567"/>
        <w:jc w:val="both"/>
        <w:rPr>
          <w:rFonts w:ascii="Arial" w:hAnsi="Arial" w:cs="Arial"/>
          <w:kern w:val="16"/>
          <w:sz w:val="22"/>
          <w:szCs w:val="22"/>
          <w:highlight w:val="yellow"/>
        </w:rPr>
      </w:pPr>
      <w:r>
        <w:rPr>
          <w:rFonts w:ascii="Arial" w:hAnsi="Arial" w:cs="Arial"/>
          <w:kern w:val="16"/>
          <w:sz w:val="22"/>
          <w:szCs w:val="22"/>
          <w:highlight w:val="yellow"/>
        </w:rPr>
        <w:t xml:space="preserve">El referido </w:t>
      </w:r>
      <w:r w:rsidRPr="00AB411C">
        <w:rPr>
          <w:rFonts w:ascii="Arial" w:hAnsi="Arial" w:cs="Arial"/>
          <w:kern w:val="16"/>
          <w:sz w:val="22"/>
          <w:szCs w:val="22"/>
          <w:highlight w:val="yellow"/>
        </w:rPr>
        <w:t>Plan Ambiental Detallado (PA-d)</w:t>
      </w:r>
      <w:r>
        <w:rPr>
          <w:rFonts w:ascii="Arial" w:hAnsi="Arial" w:cs="Arial"/>
          <w:kern w:val="16"/>
          <w:sz w:val="22"/>
          <w:szCs w:val="22"/>
          <w:highlight w:val="yellow"/>
        </w:rPr>
        <w:t xml:space="preserve"> </w:t>
      </w:r>
      <w:r w:rsidR="00AB411C">
        <w:rPr>
          <w:rFonts w:ascii="Arial" w:hAnsi="Arial" w:cs="Arial"/>
          <w:kern w:val="16"/>
          <w:sz w:val="22"/>
          <w:szCs w:val="22"/>
          <w:highlight w:val="yellow"/>
        </w:rPr>
        <w:t>será evaluado</w:t>
      </w:r>
      <w:r w:rsidR="00AB411C" w:rsidRPr="00AB411C">
        <w:rPr>
          <w:rFonts w:ascii="Arial" w:hAnsi="Arial" w:cs="Arial"/>
          <w:kern w:val="16"/>
          <w:sz w:val="22"/>
          <w:szCs w:val="22"/>
          <w:highlight w:val="yellow"/>
        </w:rPr>
        <w:t xml:space="preserve"> por la autoridad ambiental sectorial </w:t>
      </w:r>
      <w:r w:rsidR="00AB411C" w:rsidRPr="00AB411C">
        <w:rPr>
          <w:rFonts w:ascii="Arial" w:hAnsi="Arial" w:cs="Arial"/>
          <w:kern w:val="16"/>
          <w:sz w:val="22"/>
          <w:szCs w:val="22"/>
          <w:highlight w:val="yellow"/>
        </w:rPr>
        <w:t>en un plazo no mayor de treinta (30) días hábiles y comprende la evaluación de los impactos y de la estabilidad del o los componentes construidos, así como las medidas de manejo ambiental ejecutadas y propuestas</w:t>
      </w:r>
      <w:r w:rsidR="00AB411C">
        <w:rPr>
          <w:rFonts w:ascii="Arial" w:hAnsi="Arial" w:cs="Arial"/>
          <w:kern w:val="16"/>
          <w:sz w:val="22"/>
          <w:szCs w:val="22"/>
          <w:highlight w:val="yellow"/>
        </w:rPr>
        <w:t xml:space="preserve">. </w:t>
      </w:r>
      <w:r w:rsidR="002636B0" w:rsidRPr="00AB411C">
        <w:rPr>
          <w:rFonts w:ascii="Arial" w:hAnsi="Arial" w:cs="Arial"/>
          <w:kern w:val="16"/>
          <w:sz w:val="22"/>
          <w:szCs w:val="22"/>
          <w:highlight w:val="yellow"/>
        </w:rPr>
        <w:t xml:space="preserve">Se establece el procedimiento y plazos para esta </w:t>
      </w:r>
      <w:r w:rsidR="00AB411C">
        <w:rPr>
          <w:rFonts w:ascii="Arial" w:hAnsi="Arial" w:cs="Arial"/>
          <w:kern w:val="16"/>
          <w:sz w:val="22"/>
          <w:szCs w:val="22"/>
          <w:highlight w:val="yellow"/>
        </w:rPr>
        <w:t>evalua</w:t>
      </w:r>
      <w:r w:rsidR="002636B0" w:rsidRPr="00AB411C">
        <w:rPr>
          <w:rFonts w:ascii="Arial" w:hAnsi="Arial" w:cs="Arial"/>
          <w:kern w:val="16"/>
          <w:sz w:val="22"/>
          <w:szCs w:val="22"/>
          <w:highlight w:val="yellow"/>
        </w:rPr>
        <w:t xml:space="preserve">ción. </w:t>
      </w:r>
      <w:bookmarkStart w:id="0" w:name="_GoBack"/>
      <w:bookmarkEnd w:id="0"/>
    </w:p>
    <w:p w:rsidR="002636B0" w:rsidRPr="002636B0" w:rsidRDefault="002636B0" w:rsidP="002636B0">
      <w:pPr>
        <w:pStyle w:val="Prrafodelista"/>
        <w:ind w:left="567"/>
        <w:jc w:val="both"/>
        <w:rPr>
          <w:rFonts w:ascii="Arial" w:hAnsi="Arial" w:cs="Arial"/>
          <w:kern w:val="16"/>
          <w:sz w:val="22"/>
          <w:szCs w:val="22"/>
        </w:rPr>
      </w:pPr>
    </w:p>
    <w:p w:rsidR="00530FCC" w:rsidRPr="00080190" w:rsidRDefault="00530FCC" w:rsidP="009D6F4C">
      <w:pPr>
        <w:pStyle w:val="Prrafodelista"/>
        <w:numPr>
          <w:ilvl w:val="0"/>
          <w:numId w:val="2"/>
        </w:numPr>
        <w:tabs>
          <w:tab w:val="left" w:pos="567"/>
        </w:tabs>
        <w:ind w:left="567" w:hanging="567"/>
        <w:contextualSpacing/>
        <w:jc w:val="both"/>
        <w:rPr>
          <w:rFonts w:ascii="Arial" w:hAnsi="Arial" w:cs="Arial"/>
          <w:b/>
          <w:sz w:val="22"/>
          <w:szCs w:val="22"/>
        </w:rPr>
      </w:pPr>
      <w:r w:rsidRPr="00080190">
        <w:rPr>
          <w:rFonts w:ascii="Arial" w:hAnsi="Arial" w:cs="Arial"/>
          <w:b/>
          <w:sz w:val="22"/>
          <w:szCs w:val="22"/>
          <w:u w:val="single"/>
        </w:rPr>
        <w:t>JUSTIFICACIÓN DE LA NECESIDAD DE LA PROPUESTA</w:t>
      </w:r>
    </w:p>
    <w:p w:rsidR="00530FCC" w:rsidRDefault="00530FCC" w:rsidP="009D6F4C">
      <w:pPr>
        <w:pStyle w:val="Prrafodelista"/>
        <w:tabs>
          <w:tab w:val="left" w:pos="426"/>
        </w:tabs>
        <w:ind w:left="360"/>
        <w:contextualSpacing/>
        <w:jc w:val="both"/>
        <w:rPr>
          <w:rFonts w:ascii="Arial" w:hAnsi="Arial" w:cs="Arial"/>
          <w:b/>
          <w:sz w:val="22"/>
          <w:szCs w:val="22"/>
        </w:rPr>
      </w:pPr>
    </w:p>
    <w:p w:rsidR="00EC3991" w:rsidRDefault="00AD4707" w:rsidP="009D6F4C">
      <w:pPr>
        <w:ind w:left="567"/>
        <w:jc w:val="both"/>
        <w:rPr>
          <w:rFonts w:ascii="Arial" w:hAnsi="Arial" w:cs="Arial"/>
          <w:kern w:val="16"/>
          <w:sz w:val="22"/>
          <w:szCs w:val="22"/>
        </w:rPr>
      </w:pPr>
      <w:r w:rsidRPr="00031573">
        <w:rPr>
          <w:rFonts w:ascii="Arial" w:hAnsi="Arial" w:cs="Arial"/>
          <w:kern w:val="16"/>
          <w:sz w:val="22"/>
          <w:szCs w:val="22"/>
        </w:rPr>
        <w:t xml:space="preserve">El presente proyecto de Decreto Supremo se justifica en </w:t>
      </w:r>
      <w:r w:rsidR="00EC3991">
        <w:rPr>
          <w:rFonts w:ascii="Arial" w:hAnsi="Arial" w:cs="Arial"/>
          <w:kern w:val="16"/>
          <w:sz w:val="22"/>
          <w:szCs w:val="22"/>
        </w:rPr>
        <w:t xml:space="preserve">la necesidad de concordar la finalidad de la constitución de la garantía del Plan de Cierre con el </w:t>
      </w:r>
      <w:r w:rsidR="00EC3991" w:rsidRPr="00FF4D78">
        <w:rPr>
          <w:rFonts w:ascii="Arial" w:hAnsi="Arial" w:cs="Arial"/>
          <w:kern w:val="16"/>
          <w:sz w:val="22"/>
          <w:szCs w:val="22"/>
        </w:rPr>
        <w:t>principio de razonabilidad previsto en el numeral 1.4 del artículo IV del Título Preliminar del Texto Único Ordenado de la Ley del Procedimiento Administrativo General, aprobado por Decreto Supremo N° 006-2017-JUS</w:t>
      </w:r>
      <w:r w:rsidR="00EC3991">
        <w:rPr>
          <w:rFonts w:ascii="Arial" w:hAnsi="Arial" w:cs="Arial"/>
          <w:kern w:val="16"/>
          <w:sz w:val="22"/>
          <w:szCs w:val="22"/>
        </w:rPr>
        <w:t xml:space="preserve">. </w:t>
      </w:r>
    </w:p>
    <w:p w:rsidR="00E20ABD" w:rsidRDefault="00E20ABD" w:rsidP="009D6F4C">
      <w:pPr>
        <w:ind w:left="567"/>
        <w:jc w:val="both"/>
        <w:rPr>
          <w:rFonts w:ascii="Arial" w:hAnsi="Arial" w:cs="Arial"/>
          <w:kern w:val="16"/>
          <w:sz w:val="22"/>
          <w:szCs w:val="22"/>
        </w:rPr>
      </w:pPr>
    </w:p>
    <w:p w:rsidR="00AD4707" w:rsidRPr="00080190" w:rsidRDefault="009D6F4C" w:rsidP="009D6F4C">
      <w:pPr>
        <w:pStyle w:val="Prrafodelista"/>
        <w:tabs>
          <w:tab w:val="left" w:pos="426"/>
        </w:tabs>
        <w:ind w:left="360"/>
        <w:contextualSpacing/>
        <w:jc w:val="both"/>
        <w:rPr>
          <w:rFonts w:ascii="Arial" w:hAnsi="Arial" w:cs="Arial"/>
          <w:b/>
          <w:sz w:val="22"/>
          <w:szCs w:val="22"/>
        </w:rPr>
      </w:pPr>
      <w:r>
        <w:rPr>
          <w:rFonts w:ascii="Arial" w:hAnsi="Arial" w:cs="Arial"/>
          <w:b/>
          <w:sz w:val="22"/>
          <w:szCs w:val="22"/>
        </w:rPr>
        <w:tab/>
      </w:r>
    </w:p>
    <w:p w:rsidR="00530FCC" w:rsidRPr="00E163D8" w:rsidRDefault="00530FCC" w:rsidP="009D6F4C">
      <w:pPr>
        <w:pStyle w:val="Prrafodelista"/>
        <w:widowControl w:val="0"/>
        <w:numPr>
          <w:ilvl w:val="0"/>
          <w:numId w:val="2"/>
        </w:numPr>
        <w:autoSpaceDE w:val="0"/>
        <w:autoSpaceDN w:val="0"/>
        <w:adjustRightInd w:val="0"/>
        <w:ind w:left="567" w:hanging="567"/>
        <w:contextualSpacing/>
        <w:jc w:val="both"/>
        <w:rPr>
          <w:rFonts w:ascii="Arial" w:hAnsi="Arial" w:cs="Arial"/>
          <w:b/>
          <w:sz w:val="22"/>
          <w:szCs w:val="22"/>
        </w:rPr>
      </w:pPr>
      <w:r w:rsidRPr="00080190">
        <w:rPr>
          <w:rFonts w:ascii="Arial" w:hAnsi="Arial" w:cs="Arial"/>
          <w:b/>
          <w:sz w:val="22"/>
          <w:szCs w:val="22"/>
          <w:u w:val="single"/>
        </w:rPr>
        <w:t xml:space="preserve">ANÁLISIS COSTO </w:t>
      </w:r>
      <w:r w:rsidR="00E163D8">
        <w:rPr>
          <w:rFonts w:ascii="Arial" w:hAnsi="Arial" w:cs="Arial"/>
          <w:b/>
          <w:sz w:val="22"/>
          <w:szCs w:val="22"/>
          <w:u w:val="single"/>
        </w:rPr>
        <w:t>–</w:t>
      </w:r>
      <w:r w:rsidRPr="00080190">
        <w:rPr>
          <w:rFonts w:ascii="Arial" w:hAnsi="Arial" w:cs="Arial"/>
          <w:b/>
          <w:sz w:val="22"/>
          <w:szCs w:val="22"/>
          <w:u w:val="single"/>
        </w:rPr>
        <w:t xml:space="preserve"> BENEFICIO</w:t>
      </w:r>
    </w:p>
    <w:p w:rsidR="00E163D8" w:rsidRPr="00080190" w:rsidRDefault="00E163D8" w:rsidP="009D6F4C">
      <w:pPr>
        <w:pStyle w:val="Prrafodelista"/>
        <w:widowControl w:val="0"/>
        <w:autoSpaceDE w:val="0"/>
        <w:autoSpaceDN w:val="0"/>
        <w:adjustRightInd w:val="0"/>
        <w:ind w:left="360"/>
        <w:contextualSpacing/>
        <w:jc w:val="both"/>
        <w:rPr>
          <w:rFonts w:ascii="Arial" w:hAnsi="Arial" w:cs="Arial"/>
          <w:b/>
          <w:sz w:val="22"/>
          <w:szCs w:val="22"/>
        </w:rPr>
      </w:pPr>
    </w:p>
    <w:p w:rsidR="00530FCC" w:rsidRPr="00E163D8" w:rsidRDefault="00530FCC" w:rsidP="009D6F4C">
      <w:pPr>
        <w:widowControl w:val="0"/>
        <w:autoSpaceDE w:val="0"/>
        <w:autoSpaceDN w:val="0"/>
        <w:adjustRightInd w:val="0"/>
        <w:ind w:left="567"/>
        <w:contextualSpacing/>
        <w:jc w:val="both"/>
        <w:rPr>
          <w:rFonts w:ascii="Arial" w:hAnsi="Arial" w:cs="Arial"/>
          <w:sz w:val="22"/>
          <w:szCs w:val="22"/>
          <w:shd w:val="clear" w:color="auto" w:fill="FFFFFF"/>
        </w:rPr>
      </w:pPr>
      <w:r w:rsidRPr="00E163D8">
        <w:rPr>
          <w:rFonts w:ascii="Arial" w:hAnsi="Arial" w:cs="Arial"/>
          <w:sz w:val="22"/>
          <w:szCs w:val="22"/>
        </w:rPr>
        <w:t xml:space="preserve">La propuesta de norma no irrogará gasto alguno para el erario nacional. Asimismo, entre los beneficios que generará su aprobación se puede considerar </w:t>
      </w:r>
      <w:r w:rsidR="001103D4">
        <w:rPr>
          <w:rFonts w:ascii="Arial" w:hAnsi="Arial" w:cs="Arial"/>
          <w:kern w:val="16"/>
          <w:sz w:val="22"/>
          <w:szCs w:val="22"/>
        </w:rPr>
        <w:t>la simplificación del procedimiento para la actua</w:t>
      </w:r>
      <w:r w:rsidR="00E20ABD">
        <w:rPr>
          <w:rFonts w:ascii="Arial" w:hAnsi="Arial" w:cs="Arial"/>
          <w:kern w:val="16"/>
          <w:sz w:val="22"/>
          <w:szCs w:val="22"/>
        </w:rPr>
        <w:t>liza</w:t>
      </w:r>
      <w:r w:rsidR="001103D4">
        <w:rPr>
          <w:rFonts w:ascii="Arial" w:hAnsi="Arial" w:cs="Arial"/>
          <w:kern w:val="16"/>
          <w:sz w:val="22"/>
          <w:szCs w:val="22"/>
        </w:rPr>
        <w:t>ción del Plan de Cierre de Minas</w:t>
      </w:r>
      <w:r w:rsidR="00B708FF">
        <w:rPr>
          <w:rFonts w:ascii="Arial" w:hAnsi="Arial" w:cs="Arial"/>
          <w:kern w:val="16"/>
          <w:sz w:val="22"/>
          <w:szCs w:val="22"/>
        </w:rPr>
        <w:t>;</w:t>
      </w:r>
      <w:r w:rsidR="00B708FF">
        <w:rPr>
          <w:rFonts w:ascii="Arial" w:hAnsi="Arial" w:cs="Arial"/>
          <w:sz w:val="22"/>
          <w:szCs w:val="22"/>
        </w:rPr>
        <w:t xml:space="preserve"> </w:t>
      </w:r>
      <w:r w:rsidR="00E20ABD">
        <w:rPr>
          <w:rFonts w:ascii="Arial" w:hAnsi="Arial" w:cs="Arial"/>
          <w:sz w:val="22"/>
          <w:szCs w:val="22"/>
        </w:rPr>
        <w:t>y la oportunidad de la presentación de la garantía del Plan de Cierre, lo cual generaría el i</w:t>
      </w:r>
      <w:r w:rsidR="00B708FF">
        <w:rPr>
          <w:rFonts w:ascii="Arial" w:hAnsi="Arial" w:cs="Arial"/>
          <w:sz w:val="22"/>
          <w:szCs w:val="22"/>
        </w:rPr>
        <w:t>ncremento</w:t>
      </w:r>
      <w:r w:rsidR="00AD4707">
        <w:rPr>
          <w:rFonts w:ascii="Arial" w:hAnsi="Arial" w:cs="Arial"/>
          <w:sz w:val="22"/>
          <w:szCs w:val="22"/>
        </w:rPr>
        <w:t xml:space="preserve"> </w:t>
      </w:r>
      <w:r w:rsidR="00E20ABD">
        <w:rPr>
          <w:rFonts w:ascii="Arial" w:hAnsi="Arial" w:cs="Arial"/>
          <w:sz w:val="22"/>
          <w:szCs w:val="22"/>
        </w:rPr>
        <w:t>de</w:t>
      </w:r>
      <w:r w:rsidR="00B708FF">
        <w:rPr>
          <w:rFonts w:ascii="Arial" w:hAnsi="Arial" w:cs="Arial"/>
          <w:sz w:val="22"/>
          <w:szCs w:val="22"/>
        </w:rPr>
        <w:t xml:space="preserve"> </w:t>
      </w:r>
      <w:r w:rsidR="00AD4707">
        <w:rPr>
          <w:rFonts w:ascii="Arial" w:hAnsi="Arial" w:cs="Arial"/>
          <w:sz w:val="22"/>
          <w:szCs w:val="22"/>
        </w:rPr>
        <w:t>la inversión privada</w:t>
      </w:r>
      <w:r w:rsidR="00E20ABD">
        <w:rPr>
          <w:rFonts w:ascii="Arial" w:hAnsi="Arial" w:cs="Arial"/>
          <w:sz w:val="22"/>
          <w:szCs w:val="22"/>
        </w:rPr>
        <w:t>, pues los costos que se empleaban en contratar una garantía por un periodo en el que no se realizaba la ejecución del Plan de Cierre, podría ser utilizado en nuevas inversiones</w:t>
      </w:r>
      <w:r w:rsidRPr="00E163D8">
        <w:rPr>
          <w:rFonts w:ascii="Arial" w:hAnsi="Arial" w:cs="Arial"/>
          <w:sz w:val="22"/>
          <w:szCs w:val="22"/>
          <w:shd w:val="clear" w:color="auto" w:fill="FFFFFF"/>
        </w:rPr>
        <w:t>.</w:t>
      </w:r>
    </w:p>
    <w:p w:rsidR="00530FCC" w:rsidRPr="00080190" w:rsidRDefault="00530FCC" w:rsidP="009D6F4C">
      <w:pPr>
        <w:jc w:val="both"/>
        <w:rPr>
          <w:rFonts w:ascii="Arial" w:hAnsi="Arial" w:cs="Arial"/>
          <w:kern w:val="16"/>
          <w:sz w:val="22"/>
          <w:szCs w:val="22"/>
        </w:rPr>
      </w:pPr>
    </w:p>
    <w:p w:rsidR="00530FCC" w:rsidRPr="00AD4707" w:rsidRDefault="00530FCC" w:rsidP="009D6F4C">
      <w:pPr>
        <w:pStyle w:val="Prrafodelista"/>
        <w:widowControl w:val="0"/>
        <w:numPr>
          <w:ilvl w:val="0"/>
          <w:numId w:val="2"/>
        </w:numPr>
        <w:tabs>
          <w:tab w:val="left" w:pos="567"/>
        </w:tabs>
        <w:autoSpaceDE w:val="0"/>
        <w:autoSpaceDN w:val="0"/>
        <w:adjustRightInd w:val="0"/>
        <w:ind w:left="567" w:hanging="567"/>
        <w:contextualSpacing/>
        <w:jc w:val="both"/>
        <w:rPr>
          <w:rFonts w:ascii="Arial" w:hAnsi="Arial" w:cs="Arial"/>
          <w:b/>
          <w:sz w:val="22"/>
          <w:szCs w:val="22"/>
          <w:u w:val="single"/>
        </w:rPr>
      </w:pPr>
      <w:r w:rsidRPr="00AD4707">
        <w:rPr>
          <w:rFonts w:ascii="Arial" w:hAnsi="Arial" w:cs="Arial"/>
          <w:b/>
          <w:sz w:val="22"/>
          <w:szCs w:val="22"/>
          <w:u w:val="single"/>
        </w:rPr>
        <w:lastRenderedPageBreak/>
        <w:t>ANÁLISIS DEL IMPACTO DE LA VIGENCIA DE LA PROPUESTA DE NORMA EN LA LEGISLACIÓN NACIONAL</w:t>
      </w:r>
    </w:p>
    <w:p w:rsidR="00530FCC" w:rsidRPr="00080190" w:rsidRDefault="00530FCC" w:rsidP="009D6F4C">
      <w:pPr>
        <w:widowControl w:val="0"/>
        <w:autoSpaceDE w:val="0"/>
        <w:autoSpaceDN w:val="0"/>
        <w:adjustRightInd w:val="0"/>
        <w:jc w:val="both"/>
        <w:rPr>
          <w:rFonts w:ascii="Arial" w:hAnsi="Arial" w:cs="Arial"/>
          <w:sz w:val="22"/>
          <w:szCs w:val="22"/>
        </w:rPr>
      </w:pPr>
    </w:p>
    <w:p w:rsidR="00530FCC" w:rsidRPr="00080190" w:rsidRDefault="00530FCC" w:rsidP="002636B0">
      <w:pPr>
        <w:pStyle w:val="Textoindependiente22"/>
        <w:ind w:left="567"/>
      </w:pPr>
      <w:r w:rsidRPr="00080190">
        <w:t xml:space="preserve">El presente proyecto de norma modifica los artículos </w:t>
      </w:r>
      <w:r w:rsidR="00F25548">
        <w:t xml:space="preserve">20, </w:t>
      </w:r>
      <w:r w:rsidR="00AD4707">
        <w:rPr>
          <w:rFonts w:eastAsia="Calibri"/>
          <w:lang w:eastAsia="en-US"/>
        </w:rPr>
        <w:t>50 y 51 del Reglamento para el Cierre de Minas</w:t>
      </w:r>
      <w:r w:rsidRPr="00080190">
        <w:rPr>
          <w:rFonts w:eastAsia="Calibri"/>
          <w:lang w:eastAsia="en-US"/>
        </w:rPr>
        <w:t>, apr</w:t>
      </w:r>
      <w:r w:rsidR="00AD4707">
        <w:rPr>
          <w:rFonts w:eastAsia="Calibri"/>
          <w:lang w:eastAsia="en-US"/>
        </w:rPr>
        <w:t>obado por Decreto Supremo N° 033-2005</w:t>
      </w:r>
      <w:r w:rsidRPr="00080190">
        <w:rPr>
          <w:rFonts w:eastAsia="Calibri"/>
          <w:lang w:eastAsia="en-US"/>
        </w:rPr>
        <w:t>-EM.</w:t>
      </w:r>
    </w:p>
    <w:p w:rsidR="00530FCC" w:rsidRPr="00080190" w:rsidRDefault="00530FCC" w:rsidP="009D6F4C">
      <w:pPr>
        <w:pStyle w:val="Textoindependiente22"/>
        <w:ind w:left="426"/>
      </w:pPr>
    </w:p>
    <w:p w:rsidR="00044FAF" w:rsidRDefault="00044FAF" w:rsidP="009D6F4C">
      <w:pPr>
        <w:rPr>
          <w:rFonts w:ascii="Arial" w:hAnsi="Arial" w:cs="Arial"/>
          <w:sz w:val="22"/>
          <w:szCs w:val="22"/>
          <w:lang w:val="es-PE"/>
        </w:rPr>
      </w:pPr>
    </w:p>
    <w:p w:rsidR="00080190" w:rsidRPr="00080190" w:rsidRDefault="00080190" w:rsidP="009D6F4C">
      <w:pPr>
        <w:rPr>
          <w:rFonts w:ascii="Arial" w:hAnsi="Arial" w:cs="Arial"/>
          <w:sz w:val="22"/>
          <w:szCs w:val="22"/>
          <w:lang w:val="es-PE"/>
        </w:rPr>
      </w:pPr>
    </w:p>
    <w:sectPr w:rsidR="00080190" w:rsidRPr="000801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A46"/>
    <w:multiLevelType w:val="hybridMultilevel"/>
    <w:tmpl w:val="E410C14E"/>
    <w:lvl w:ilvl="0" w:tplc="280A000F">
      <w:start w:val="3"/>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7E50E11"/>
    <w:multiLevelType w:val="hybridMultilevel"/>
    <w:tmpl w:val="DC4E578E"/>
    <w:lvl w:ilvl="0" w:tplc="0EC8578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C333882"/>
    <w:multiLevelType w:val="hybridMultilevel"/>
    <w:tmpl w:val="F392D15E"/>
    <w:lvl w:ilvl="0" w:tplc="4770EEC8">
      <w:start w:val="1"/>
      <w:numFmt w:val="decimal"/>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
    <w:nsid w:val="15C25A16"/>
    <w:multiLevelType w:val="hybridMultilevel"/>
    <w:tmpl w:val="862A68F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16C94FB1"/>
    <w:multiLevelType w:val="hybridMultilevel"/>
    <w:tmpl w:val="E910BF68"/>
    <w:lvl w:ilvl="0" w:tplc="976EC242">
      <w:start w:val="7"/>
      <w:numFmt w:val="bullet"/>
      <w:lvlText w:val="-"/>
      <w:lvlJc w:val="left"/>
      <w:pPr>
        <w:ind w:left="927" w:hanging="360"/>
      </w:pPr>
      <w:rPr>
        <w:rFonts w:ascii="Arial" w:eastAsia="Times New Roman"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5">
    <w:nsid w:val="30D9203E"/>
    <w:multiLevelType w:val="hybridMultilevel"/>
    <w:tmpl w:val="C1E05AF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5372A74"/>
    <w:multiLevelType w:val="multilevel"/>
    <w:tmpl w:val="5D9C9780"/>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F13937"/>
    <w:multiLevelType w:val="multilevel"/>
    <w:tmpl w:val="000885D0"/>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52221972"/>
    <w:multiLevelType w:val="hybridMultilevel"/>
    <w:tmpl w:val="3DF2B7B2"/>
    <w:lvl w:ilvl="0" w:tplc="EA8CB87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nsid w:val="5A9F454E"/>
    <w:multiLevelType w:val="multilevel"/>
    <w:tmpl w:val="1B1C861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CE214EA"/>
    <w:multiLevelType w:val="multilevel"/>
    <w:tmpl w:val="C76606D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6BD177DA"/>
    <w:multiLevelType w:val="multilevel"/>
    <w:tmpl w:val="EA02ED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9"/>
  </w:num>
  <w:num w:numId="4">
    <w:abstractNumId w:val="3"/>
  </w:num>
  <w:num w:numId="5">
    <w:abstractNumId w:val="8"/>
  </w:num>
  <w:num w:numId="6">
    <w:abstractNumId w:val="2"/>
  </w:num>
  <w:num w:numId="7">
    <w:abstractNumId w:val="1"/>
  </w:num>
  <w:num w:numId="8">
    <w:abstractNumId w:val="10"/>
  </w:num>
  <w:num w:numId="9">
    <w:abstractNumId w:val="11"/>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B0"/>
    <w:rsid w:val="00031573"/>
    <w:rsid w:val="00044FAF"/>
    <w:rsid w:val="00047081"/>
    <w:rsid w:val="00080190"/>
    <w:rsid w:val="001103D4"/>
    <w:rsid w:val="001523D3"/>
    <w:rsid w:val="001B5544"/>
    <w:rsid w:val="0020200B"/>
    <w:rsid w:val="00233AEA"/>
    <w:rsid w:val="0025174F"/>
    <w:rsid w:val="002636B0"/>
    <w:rsid w:val="002B3773"/>
    <w:rsid w:val="002C484A"/>
    <w:rsid w:val="002F629D"/>
    <w:rsid w:val="00305F88"/>
    <w:rsid w:val="00360BBD"/>
    <w:rsid w:val="003E6CD1"/>
    <w:rsid w:val="0046316B"/>
    <w:rsid w:val="0046606E"/>
    <w:rsid w:val="0046675A"/>
    <w:rsid w:val="004D058B"/>
    <w:rsid w:val="00530FCC"/>
    <w:rsid w:val="00566819"/>
    <w:rsid w:val="005B66FA"/>
    <w:rsid w:val="005E5F8D"/>
    <w:rsid w:val="00614E22"/>
    <w:rsid w:val="00632CB0"/>
    <w:rsid w:val="00643BC2"/>
    <w:rsid w:val="006520C2"/>
    <w:rsid w:val="0069518A"/>
    <w:rsid w:val="006F238A"/>
    <w:rsid w:val="00750D33"/>
    <w:rsid w:val="00754B2F"/>
    <w:rsid w:val="007601E4"/>
    <w:rsid w:val="00774A83"/>
    <w:rsid w:val="00805647"/>
    <w:rsid w:val="00820F30"/>
    <w:rsid w:val="00853CD5"/>
    <w:rsid w:val="0087370A"/>
    <w:rsid w:val="008A17B6"/>
    <w:rsid w:val="008D67B6"/>
    <w:rsid w:val="008D7415"/>
    <w:rsid w:val="008E717A"/>
    <w:rsid w:val="00941A1A"/>
    <w:rsid w:val="00954364"/>
    <w:rsid w:val="009955DB"/>
    <w:rsid w:val="009C2CE2"/>
    <w:rsid w:val="009D6F4C"/>
    <w:rsid w:val="00A872DF"/>
    <w:rsid w:val="00AB411C"/>
    <w:rsid w:val="00AD4707"/>
    <w:rsid w:val="00AD4FDB"/>
    <w:rsid w:val="00AE1EB5"/>
    <w:rsid w:val="00B62C1D"/>
    <w:rsid w:val="00B708FF"/>
    <w:rsid w:val="00B763DA"/>
    <w:rsid w:val="00C3236F"/>
    <w:rsid w:val="00CD5981"/>
    <w:rsid w:val="00D37ED9"/>
    <w:rsid w:val="00D72FAA"/>
    <w:rsid w:val="00D84E5F"/>
    <w:rsid w:val="00D9571C"/>
    <w:rsid w:val="00DB187A"/>
    <w:rsid w:val="00DE1EC9"/>
    <w:rsid w:val="00E163D8"/>
    <w:rsid w:val="00E20ABD"/>
    <w:rsid w:val="00E47465"/>
    <w:rsid w:val="00E629DF"/>
    <w:rsid w:val="00EC3991"/>
    <w:rsid w:val="00F045F1"/>
    <w:rsid w:val="00F25548"/>
    <w:rsid w:val="00F719E7"/>
    <w:rsid w:val="00FE7EE5"/>
    <w:rsid w:val="00FF4D7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B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32CB0"/>
    <w:pPr>
      <w:ind w:left="708"/>
    </w:pPr>
  </w:style>
  <w:style w:type="paragraph" w:styleId="Encabezado">
    <w:name w:val="header"/>
    <w:basedOn w:val="Normal"/>
    <w:link w:val="EncabezadoCar"/>
    <w:unhideWhenUsed/>
    <w:rsid w:val="00853CD5"/>
    <w:pPr>
      <w:tabs>
        <w:tab w:val="center" w:pos="4419"/>
        <w:tab w:val="right" w:pos="8838"/>
      </w:tabs>
    </w:pPr>
    <w:rPr>
      <w:rFonts w:ascii="Calibri" w:eastAsia="Calibri" w:hAnsi="Calibri"/>
      <w:sz w:val="22"/>
      <w:szCs w:val="22"/>
      <w:lang w:val="es-PE" w:eastAsia="en-US"/>
    </w:rPr>
  </w:style>
  <w:style w:type="character" w:customStyle="1" w:styleId="EncabezadoCar">
    <w:name w:val="Encabezado Car"/>
    <w:basedOn w:val="Fuentedeprrafopredeter"/>
    <w:link w:val="Encabezado"/>
    <w:rsid w:val="00853CD5"/>
    <w:rPr>
      <w:rFonts w:ascii="Calibri" w:eastAsia="Calibri" w:hAnsi="Calibri" w:cs="Times New Roman"/>
    </w:rPr>
  </w:style>
  <w:style w:type="character" w:customStyle="1" w:styleId="PrrafodelistaCar">
    <w:name w:val="Párrafo de lista Car"/>
    <w:link w:val="Prrafodelista"/>
    <w:uiPriority w:val="34"/>
    <w:locked/>
    <w:rsid w:val="00530FCC"/>
    <w:rPr>
      <w:rFonts w:ascii="Times New Roman" w:eastAsia="Times New Roman" w:hAnsi="Times New Roman" w:cs="Times New Roman"/>
      <w:sz w:val="24"/>
      <w:szCs w:val="24"/>
      <w:lang w:val="es-ES" w:eastAsia="es-ES"/>
    </w:rPr>
  </w:style>
  <w:style w:type="paragraph" w:customStyle="1" w:styleId="Textoindependiente22">
    <w:name w:val="Texto independiente 22"/>
    <w:basedOn w:val="Normal"/>
    <w:rsid w:val="00530FCC"/>
    <w:pPr>
      <w:jc w:val="both"/>
    </w:pPr>
    <w:rPr>
      <w:rFonts w:ascii="Arial" w:eastAsiaTheme="minorHAnsi" w:hAnsi="Arial" w:cs="Arial"/>
      <w:sz w:val="22"/>
      <w:szCs w:val="22"/>
      <w:lang w:val="es-PE"/>
    </w:rPr>
  </w:style>
  <w:style w:type="paragraph" w:customStyle="1" w:styleId="Default">
    <w:name w:val="Default"/>
    <w:rsid w:val="00305F88"/>
    <w:pPr>
      <w:autoSpaceDE w:val="0"/>
      <w:autoSpaceDN w:val="0"/>
      <w:adjustRightInd w:val="0"/>
      <w:spacing w:after="0" w:line="240" w:lineRule="auto"/>
    </w:pPr>
    <w:rPr>
      <w:rFonts w:ascii="Arial" w:eastAsia="Calibri" w:hAnsi="Arial" w:cs="Arial"/>
      <w:color w:val="000000"/>
      <w:sz w:val="24"/>
      <w:szCs w:val="24"/>
      <w:lang w:eastAsia="es-PE"/>
    </w:rPr>
  </w:style>
  <w:style w:type="character" w:styleId="Hipervnculo">
    <w:name w:val="Hyperlink"/>
    <w:basedOn w:val="Fuentedeprrafopredeter"/>
    <w:uiPriority w:val="99"/>
    <w:semiHidden/>
    <w:unhideWhenUsed/>
    <w:rsid w:val="00AD47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B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32CB0"/>
    <w:pPr>
      <w:ind w:left="708"/>
    </w:pPr>
  </w:style>
  <w:style w:type="paragraph" w:styleId="Encabezado">
    <w:name w:val="header"/>
    <w:basedOn w:val="Normal"/>
    <w:link w:val="EncabezadoCar"/>
    <w:unhideWhenUsed/>
    <w:rsid w:val="00853CD5"/>
    <w:pPr>
      <w:tabs>
        <w:tab w:val="center" w:pos="4419"/>
        <w:tab w:val="right" w:pos="8838"/>
      </w:tabs>
    </w:pPr>
    <w:rPr>
      <w:rFonts w:ascii="Calibri" w:eastAsia="Calibri" w:hAnsi="Calibri"/>
      <w:sz w:val="22"/>
      <w:szCs w:val="22"/>
      <w:lang w:val="es-PE" w:eastAsia="en-US"/>
    </w:rPr>
  </w:style>
  <w:style w:type="character" w:customStyle="1" w:styleId="EncabezadoCar">
    <w:name w:val="Encabezado Car"/>
    <w:basedOn w:val="Fuentedeprrafopredeter"/>
    <w:link w:val="Encabezado"/>
    <w:rsid w:val="00853CD5"/>
    <w:rPr>
      <w:rFonts w:ascii="Calibri" w:eastAsia="Calibri" w:hAnsi="Calibri" w:cs="Times New Roman"/>
    </w:rPr>
  </w:style>
  <w:style w:type="character" w:customStyle="1" w:styleId="PrrafodelistaCar">
    <w:name w:val="Párrafo de lista Car"/>
    <w:link w:val="Prrafodelista"/>
    <w:uiPriority w:val="34"/>
    <w:locked/>
    <w:rsid w:val="00530FCC"/>
    <w:rPr>
      <w:rFonts w:ascii="Times New Roman" w:eastAsia="Times New Roman" w:hAnsi="Times New Roman" w:cs="Times New Roman"/>
      <w:sz w:val="24"/>
      <w:szCs w:val="24"/>
      <w:lang w:val="es-ES" w:eastAsia="es-ES"/>
    </w:rPr>
  </w:style>
  <w:style w:type="paragraph" w:customStyle="1" w:styleId="Textoindependiente22">
    <w:name w:val="Texto independiente 22"/>
    <w:basedOn w:val="Normal"/>
    <w:rsid w:val="00530FCC"/>
    <w:pPr>
      <w:jc w:val="both"/>
    </w:pPr>
    <w:rPr>
      <w:rFonts w:ascii="Arial" w:eastAsiaTheme="minorHAnsi" w:hAnsi="Arial" w:cs="Arial"/>
      <w:sz w:val="22"/>
      <w:szCs w:val="22"/>
      <w:lang w:val="es-PE"/>
    </w:rPr>
  </w:style>
  <w:style w:type="paragraph" w:customStyle="1" w:styleId="Default">
    <w:name w:val="Default"/>
    <w:rsid w:val="00305F88"/>
    <w:pPr>
      <w:autoSpaceDE w:val="0"/>
      <w:autoSpaceDN w:val="0"/>
      <w:adjustRightInd w:val="0"/>
      <w:spacing w:after="0" w:line="240" w:lineRule="auto"/>
    </w:pPr>
    <w:rPr>
      <w:rFonts w:ascii="Arial" w:eastAsia="Calibri" w:hAnsi="Arial" w:cs="Arial"/>
      <w:color w:val="000000"/>
      <w:sz w:val="24"/>
      <w:szCs w:val="24"/>
      <w:lang w:eastAsia="es-PE"/>
    </w:rPr>
  </w:style>
  <w:style w:type="character" w:styleId="Hipervnculo">
    <w:name w:val="Hyperlink"/>
    <w:basedOn w:val="Fuentedeprrafopredeter"/>
    <w:uiPriority w:val="99"/>
    <w:semiHidden/>
    <w:unhideWhenUsed/>
    <w:rsid w:val="00AD47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96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7821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Vasquez Bonifaz Martha</dc:creator>
  <cp:lastModifiedBy>Candela Veliz Celia Mariela Mercedes</cp:lastModifiedBy>
  <cp:revision>2</cp:revision>
  <dcterms:created xsi:type="dcterms:W3CDTF">2017-12-20T21:28:00Z</dcterms:created>
  <dcterms:modified xsi:type="dcterms:W3CDTF">2017-12-20T21:28:00Z</dcterms:modified>
</cp:coreProperties>
</file>