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1296E" w14:textId="77777777" w:rsidR="0080448E" w:rsidRPr="0067376F" w:rsidRDefault="0080448E" w:rsidP="0080448E">
      <w:pPr>
        <w:autoSpaceDE w:val="0"/>
        <w:autoSpaceDN w:val="0"/>
        <w:adjustRightInd w:val="0"/>
        <w:spacing w:after="0" w:line="240" w:lineRule="auto"/>
        <w:ind w:left="708" w:hanging="566"/>
        <w:jc w:val="center"/>
        <w:rPr>
          <w:rFonts w:ascii="Arial" w:eastAsia="Calibri" w:hAnsi="Arial" w:cs="Arial"/>
          <w:b/>
          <w:bCs/>
          <w:sz w:val="21"/>
          <w:szCs w:val="21"/>
          <w:lang w:val="es-ES" w:eastAsia="es-ES"/>
        </w:rPr>
      </w:pPr>
      <w:bookmarkStart w:id="0" w:name="_GoBack"/>
      <w:bookmarkEnd w:id="0"/>
      <w:r w:rsidRPr="0067376F">
        <w:rPr>
          <w:rFonts w:ascii="Arial" w:eastAsia="Calibri" w:hAnsi="Arial" w:cs="Arial"/>
          <w:b/>
          <w:bCs/>
          <w:sz w:val="21"/>
          <w:szCs w:val="21"/>
          <w:lang w:val="es-ES" w:eastAsia="es-ES"/>
        </w:rPr>
        <w:t>PROYECTO DE DECRETO SUPREMO</w:t>
      </w:r>
    </w:p>
    <w:p w14:paraId="1E1F4EE2" w14:textId="77777777" w:rsidR="0080448E" w:rsidRPr="0067376F" w:rsidRDefault="0080448E" w:rsidP="0080448E">
      <w:pPr>
        <w:spacing w:after="0" w:line="240" w:lineRule="auto"/>
        <w:jc w:val="center"/>
        <w:rPr>
          <w:rFonts w:ascii="Arial" w:eastAsia="Calibri" w:hAnsi="Arial" w:cs="Arial"/>
          <w:b/>
          <w:bCs/>
          <w:sz w:val="21"/>
          <w:szCs w:val="21"/>
          <w:lang w:val="es-ES" w:eastAsia="es-ES"/>
        </w:rPr>
      </w:pPr>
    </w:p>
    <w:p w14:paraId="3221F97D" w14:textId="77777777" w:rsidR="0080448E" w:rsidRPr="0067376F" w:rsidRDefault="0080448E" w:rsidP="0080448E">
      <w:pPr>
        <w:autoSpaceDE w:val="0"/>
        <w:autoSpaceDN w:val="0"/>
        <w:adjustRightInd w:val="0"/>
        <w:spacing w:after="0" w:line="240" w:lineRule="auto"/>
        <w:ind w:left="708" w:hanging="566"/>
        <w:jc w:val="center"/>
        <w:rPr>
          <w:rFonts w:ascii="Arial" w:eastAsia="Calibri" w:hAnsi="Arial" w:cs="Arial"/>
          <w:b/>
          <w:bCs/>
          <w:sz w:val="21"/>
          <w:szCs w:val="21"/>
          <w:lang w:val="es-ES" w:eastAsia="es-ES"/>
        </w:rPr>
      </w:pPr>
      <w:r w:rsidRPr="0067376F">
        <w:rPr>
          <w:rFonts w:ascii="Arial" w:eastAsia="Calibri" w:hAnsi="Arial" w:cs="Arial"/>
          <w:b/>
          <w:bCs/>
          <w:sz w:val="21"/>
          <w:szCs w:val="21"/>
          <w:lang w:val="es-ES" w:eastAsia="es-ES"/>
        </w:rPr>
        <w:t>DECRETO SUPREMO QUE APRUEBA LA MODIFICACIÓN AL REGLAMENTO PARA LA PROTECCIÓN AMBIENTAL EN LAS ACTIVIDADES DE HIDROCARBUROS</w:t>
      </w:r>
    </w:p>
    <w:p w14:paraId="5C6CEB87" w14:textId="77777777" w:rsidR="0080448E" w:rsidRPr="0067376F" w:rsidRDefault="0080448E" w:rsidP="0080448E">
      <w:pPr>
        <w:autoSpaceDE w:val="0"/>
        <w:autoSpaceDN w:val="0"/>
        <w:adjustRightInd w:val="0"/>
        <w:spacing w:after="0" w:line="240" w:lineRule="auto"/>
        <w:ind w:left="708" w:hanging="566"/>
        <w:jc w:val="center"/>
        <w:rPr>
          <w:rFonts w:ascii="Arial" w:eastAsia="Calibri" w:hAnsi="Arial" w:cs="Arial"/>
          <w:b/>
          <w:bCs/>
          <w:sz w:val="21"/>
          <w:szCs w:val="21"/>
          <w:lang w:val="es-ES" w:eastAsia="es-ES"/>
        </w:rPr>
      </w:pPr>
    </w:p>
    <w:p w14:paraId="59947FF2" w14:textId="77777777" w:rsidR="0080448E" w:rsidRPr="0067376F" w:rsidRDefault="0080448E" w:rsidP="0080448E">
      <w:pPr>
        <w:pStyle w:val="Subttulo"/>
        <w:spacing w:before="0" w:after="0"/>
        <w:ind w:firstLine="567"/>
        <w:rPr>
          <w:rFonts w:ascii="Arial" w:hAnsi="Arial" w:cs="Arial"/>
          <w:sz w:val="21"/>
          <w:szCs w:val="21"/>
        </w:rPr>
      </w:pPr>
      <w:r w:rsidRPr="0067376F">
        <w:rPr>
          <w:rFonts w:ascii="Arial" w:hAnsi="Arial" w:cs="Arial"/>
          <w:sz w:val="21"/>
          <w:szCs w:val="21"/>
        </w:rPr>
        <w:t>EL PRESIDENTE DE LA REPÚBLICA</w:t>
      </w:r>
    </w:p>
    <w:p w14:paraId="30FD41F4" w14:textId="77777777" w:rsidR="0080448E" w:rsidRPr="0067376F" w:rsidRDefault="0080448E" w:rsidP="0080448E">
      <w:pPr>
        <w:spacing w:after="0" w:line="240" w:lineRule="auto"/>
        <w:ind w:firstLine="567"/>
        <w:rPr>
          <w:rFonts w:ascii="Arial" w:hAnsi="Arial" w:cs="Arial"/>
          <w:b/>
          <w:bCs/>
          <w:sz w:val="21"/>
          <w:szCs w:val="21"/>
          <w:lang w:val="es-ES"/>
        </w:rPr>
      </w:pPr>
    </w:p>
    <w:p w14:paraId="7ED7FBB6" w14:textId="77777777" w:rsidR="0080448E" w:rsidRPr="0067376F" w:rsidRDefault="0080448E" w:rsidP="0080448E">
      <w:pPr>
        <w:spacing w:after="0" w:line="240" w:lineRule="auto"/>
        <w:ind w:firstLine="567"/>
        <w:rPr>
          <w:rFonts w:ascii="Arial" w:hAnsi="Arial" w:cs="Arial"/>
          <w:bCs/>
          <w:sz w:val="21"/>
          <w:szCs w:val="21"/>
        </w:rPr>
      </w:pPr>
      <w:r w:rsidRPr="0067376F">
        <w:rPr>
          <w:rFonts w:ascii="Arial" w:hAnsi="Arial" w:cs="Arial"/>
          <w:b/>
          <w:bCs/>
          <w:sz w:val="21"/>
          <w:szCs w:val="21"/>
        </w:rPr>
        <w:t>CONSIDERANDO:</w:t>
      </w:r>
    </w:p>
    <w:p w14:paraId="3EE07FA9" w14:textId="77777777" w:rsidR="0080448E" w:rsidRPr="0067376F" w:rsidRDefault="0080448E" w:rsidP="0080448E">
      <w:pPr>
        <w:autoSpaceDE w:val="0"/>
        <w:autoSpaceDN w:val="0"/>
        <w:adjustRightInd w:val="0"/>
        <w:spacing w:after="0" w:line="240" w:lineRule="auto"/>
        <w:ind w:firstLine="567"/>
        <w:jc w:val="both"/>
        <w:rPr>
          <w:rFonts w:ascii="Arial" w:hAnsi="Arial" w:cs="Arial"/>
          <w:sz w:val="21"/>
          <w:szCs w:val="21"/>
        </w:rPr>
      </w:pPr>
    </w:p>
    <w:p w14:paraId="458E4AB0"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r w:rsidRPr="0067376F">
        <w:rPr>
          <w:rFonts w:ascii="Arial" w:hAnsi="Arial" w:cs="Arial"/>
          <w:sz w:val="21"/>
          <w:szCs w:val="21"/>
          <w:lang w:eastAsia="es-PE"/>
        </w:rPr>
        <w:t xml:space="preserve">Que, </w:t>
      </w:r>
      <w:r w:rsidRPr="0067376F">
        <w:rPr>
          <w:rFonts w:ascii="Arial" w:eastAsiaTheme="minorEastAsia" w:hAnsi="Arial" w:cs="Arial"/>
          <w:sz w:val="21"/>
          <w:szCs w:val="21"/>
          <w:lang w:eastAsia="es-PE"/>
        </w:rPr>
        <w:t xml:space="preserve">mediante Ley N° 27446, Ley del Sistema Nacional de Evaluación del Impacto Ambiental, se creó el Sistema Nacional de Evaluación de Impacto Ambiental – SEIA, </w:t>
      </w:r>
      <w:r w:rsidR="00DD44DA">
        <w:rPr>
          <w:rFonts w:ascii="Arial" w:eastAsiaTheme="minorEastAsia" w:hAnsi="Arial" w:cs="Arial"/>
          <w:sz w:val="21"/>
          <w:szCs w:val="21"/>
          <w:lang w:eastAsia="es-PE"/>
        </w:rPr>
        <w:t xml:space="preserve">como un </w:t>
      </w:r>
      <w:r w:rsidRPr="0067376F">
        <w:rPr>
          <w:rFonts w:ascii="Arial" w:eastAsiaTheme="minorEastAsia" w:hAnsi="Arial" w:cs="Arial"/>
          <w:sz w:val="21"/>
          <w:szCs w:val="21"/>
          <w:lang w:eastAsia="es-PE"/>
        </w:rPr>
        <w:t>sistema único y coordinado de identificación, prevención, supervisión, control y corrección anticipada de los impactos ambientales negativos derivados de las acciones humanas expresadas por medio del proyecto de inversión. Asimismo, dicha Ley establece un proceso uniforme que comprende los requerimientos, etapas y alcances de la evaluación del impacto ambiental; así como los mecanismos que aseguren la participación ciudadana en el proceso de dicha evaluación;</w:t>
      </w:r>
    </w:p>
    <w:p w14:paraId="7ED42909"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p>
    <w:p w14:paraId="2C373C13"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r w:rsidRPr="0067376F">
        <w:rPr>
          <w:rFonts w:ascii="Arial" w:eastAsiaTheme="minorEastAsia" w:hAnsi="Arial" w:cs="Arial"/>
          <w:sz w:val="21"/>
          <w:szCs w:val="21"/>
          <w:lang w:eastAsia="es-PE"/>
        </w:rPr>
        <w:t>Que, mediante Decreto Supremo N° 019-2009-MINAM, se aprobó el Reglamento de la Ley N° 27446, Ley del Sistema Nacional de Evaluación del Impacto Ambiental, el cual ordena la adecuación de la normativa sectorial vinculada al proceso de evaluación de impacto ambiental, a lo dispuesto en dicho Reglamento y sus normas complementarias y conexas;</w:t>
      </w:r>
    </w:p>
    <w:p w14:paraId="5E087DD7"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p>
    <w:p w14:paraId="06D09240"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r w:rsidRPr="0067376F">
        <w:rPr>
          <w:rFonts w:ascii="Arial" w:eastAsiaTheme="minorEastAsia" w:hAnsi="Arial" w:cs="Arial"/>
          <w:sz w:val="21"/>
          <w:szCs w:val="21"/>
          <w:lang w:eastAsia="es-PE"/>
        </w:rPr>
        <w:t>Que, el literal a) del artículo 4 del antes citado Reglamento señala que el Sistema Nacional de Evaluación de Impacto Ambiental es un sistema único y coordinado, de carácter preventivo, cuya función principal es la identificación, evaluación, mitigación y corrección anticipada de los impactos ambientales negativos derivados de acciones humanas, expresadas como políticas, planes, programas y proyectos de inversión, potenciando asimismo, la generación de impactos ambientales positivos derivados de dichas acciones;</w:t>
      </w:r>
    </w:p>
    <w:p w14:paraId="0A875F5F"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p>
    <w:p w14:paraId="066262E2" w14:textId="60EDC398"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r w:rsidRPr="0067376F">
        <w:rPr>
          <w:rFonts w:ascii="Arial" w:eastAsiaTheme="minorEastAsia" w:hAnsi="Arial" w:cs="Arial"/>
          <w:sz w:val="21"/>
          <w:szCs w:val="21"/>
          <w:lang w:eastAsia="es-PE"/>
        </w:rPr>
        <w:t xml:space="preserve">Que, en el artículo </w:t>
      </w:r>
      <w:r w:rsidR="00DD44DA" w:rsidRPr="009925EE">
        <w:rPr>
          <w:rFonts w:ascii="Arial" w:hAnsi="Arial" w:cs="Arial"/>
          <w:sz w:val="21"/>
          <w:szCs w:val="21"/>
        </w:rPr>
        <w:t xml:space="preserve">4 de la Ley del SEIA, modificado por el Decreto Legislativo N° 1394, en concordancia con el artículo </w:t>
      </w:r>
      <w:r w:rsidRPr="0067376F">
        <w:rPr>
          <w:rFonts w:ascii="Arial" w:eastAsiaTheme="minorEastAsia" w:hAnsi="Arial" w:cs="Arial"/>
          <w:sz w:val="21"/>
          <w:szCs w:val="21"/>
          <w:lang w:eastAsia="es-PE"/>
        </w:rPr>
        <w:t xml:space="preserve">11 de dicho Reglamento se establece que los Instrumentos de Gestión Ambiental o Estudios Ambientales de aplicación del SEIA </w:t>
      </w:r>
      <w:r w:rsidR="00DD44DA" w:rsidRPr="009925EE">
        <w:rPr>
          <w:rFonts w:ascii="Arial" w:hAnsi="Arial" w:cs="Arial"/>
          <w:sz w:val="21"/>
          <w:szCs w:val="21"/>
        </w:rPr>
        <w:t xml:space="preserve">para proyectos de inversión </w:t>
      </w:r>
      <w:r w:rsidRPr="0067376F">
        <w:rPr>
          <w:rFonts w:ascii="Arial" w:eastAsiaTheme="minorEastAsia" w:hAnsi="Arial" w:cs="Arial"/>
          <w:sz w:val="21"/>
          <w:szCs w:val="21"/>
          <w:lang w:eastAsia="es-PE"/>
        </w:rPr>
        <w:t>son: a) la Declaración de Impacto Ambiental - DIA (Categoría I), b) el Estudio de Impacto Ambiental Semidetallado - EIA-</w:t>
      </w:r>
      <w:proofErr w:type="spellStart"/>
      <w:r w:rsidRPr="0067376F">
        <w:rPr>
          <w:rFonts w:ascii="Arial" w:eastAsiaTheme="minorEastAsia" w:hAnsi="Arial" w:cs="Arial"/>
          <w:sz w:val="21"/>
          <w:szCs w:val="21"/>
          <w:lang w:eastAsia="es-PE"/>
        </w:rPr>
        <w:t>sd</w:t>
      </w:r>
      <w:proofErr w:type="spellEnd"/>
      <w:r w:rsidRPr="0067376F">
        <w:rPr>
          <w:rFonts w:ascii="Arial" w:eastAsiaTheme="minorEastAsia" w:hAnsi="Arial" w:cs="Arial"/>
          <w:sz w:val="21"/>
          <w:szCs w:val="21"/>
          <w:lang w:eastAsia="es-PE"/>
        </w:rPr>
        <w:t xml:space="preserve"> (Categoría II),</w:t>
      </w:r>
      <w:r w:rsidR="00DD44DA">
        <w:rPr>
          <w:rFonts w:ascii="Arial" w:eastAsiaTheme="minorEastAsia" w:hAnsi="Arial" w:cs="Arial"/>
          <w:sz w:val="21"/>
          <w:szCs w:val="21"/>
          <w:lang w:eastAsia="es-PE"/>
        </w:rPr>
        <w:t xml:space="preserve"> y</w:t>
      </w:r>
      <w:r w:rsidRPr="0067376F">
        <w:rPr>
          <w:rFonts w:ascii="Arial" w:eastAsiaTheme="minorEastAsia" w:hAnsi="Arial" w:cs="Arial"/>
          <w:sz w:val="21"/>
          <w:szCs w:val="21"/>
          <w:lang w:eastAsia="es-PE"/>
        </w:rPr>
        <w:t xml:space="preserve"> c) el Estudios de Impacto Ambiental Detallado - EIA-d (Categoría III); </w:t>
      </w:r>
    </w:p>
    <w:p w14:paraId="07782164"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p>
    <w:p w14:paraId="26A5B007"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r w:rsidRPr="0067376F">
        <w:rPr>
          <w:rFonts w:ascii="Arial" w:eastAsiaTheme="minorEastAsia" w:hAnsi="Arial" w:cs="Arial"/>
          <w:sz w:val="21"/>
          <w:szCs w:val="21"/>
          <w:lang w:eastAsia="es-PE"/>
        </w:rPr>
        <w:t>Que, el artículo 13 del mencionado Reglamento dispone que los instrumentos de Gestión Ambiental no comprendidos en el SEIA son considerados instrumentos complementarios al mismo; y las obligaciones que se establezcan en dichos instrumentos deben ser determinadas de forma concordante con los objetivos, principios y criterios que se señalan en la Ley N° 27444 y su Reglamento, bajo un enfoque de integralidad y complementariedad, de tal forma que se adopten medidas eficaces para proteger y mejorar la salud de las personas, la calidad ambiental, conservar la diversidad biológica y propiciar el desarrollo sostenible, en sus múltiples dimensiones;</w:t>
      </w:r>
    </w:p>
    <w:p w14:paraId="3D5EC6F2"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p>
    <w:p w14:paraId="780319E9"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r w:rsidRPr="0067376F">
        <w:rPr>
          <w:rFonts w:ascii="Arial" w:eastAsiaTheme="minorEastAsia" w:hAnsi="Arial" w:cs="Arial"/>
          <w:sz w:val="21"/>
          <w:szCs w:val="21"/>
          <w:lang w:eastAsia="es-PE"/>
        </w:rPr>
        <w:t>Que, el artículo 15 de</w:t>
      </w:r>
      <w:r w:rsidR="00547316">
        <w:rPr>
          <w:rFonts w:ascii="Arial" w:eastAsiaTheme="minorEastAsia" w:hAnsi="Arial" w:cs="Arial"/>
          <w:sz w:val="21"/>
          <w:szCs w:val="21"/>
          <w:lang w:eastAsia="es-PE"/>
        </w:rPr>
        <w:t xml:space="preserve">l Reglamento antes citado establece que </w:t>
      </w:r>
      <w:r w:rsidRPr="0067376F">
        <w:rPr>
          <w:rFonts w:ascii="Arial" w:eastAsiaTheme="minorEastAsia" w:hAnsi="Arial" w:cs="Arial"/>
          <w:sz w:val="21"/>
          <w:szCs w:val="21"/>
          <w:lang w:eastAsia="es-PE"/>
        </w:rPr>
        <w:t>toda persona natural o jurídica, de derecho público o privado, nacional o extranjera, que pretenda desarrollar un proyecto de inversión susceptible de generar impactos ambientales negativos de carácter significativo, que estén relacionados con los criterios de protección ambiental debe gestionar una Certificación Ambiental ante la Autoridad Competente que corresponda, de acuerdo con la normatividad vigente y lo dispuesto en el presente Reglamento;</w:t>
      </w:r>
    </w:p>
    <w:p w14:paraId="2A060458"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p>
    <w:p w14:paraId="43E171D2" w14:textId="77777777" w:rsidR="00547316" w:rsidRPr="00547316" w:rsidRDefault="00547316" w:rsidP="00547316">
      <w:pPr>
        <w:autoSpaceDE w:val="0"/>
        <w:autoSpaceDN w:val="0"/>
        <w:adjustRightInd w:val="0"/>
        <w:spacing w:after="0" w:line="240" w:lineRule="auto"/>
        <w:ind w:firstLine="567"/>
        <w:jc w:val="both"/>
        <w:rPr>
          <w:rFonts w:ascii="Arial" w:eastAsiaTheme="minorEastAsia" w:hAnsi="Arial" w:cs="Arial"/>
          <w:sz w:val="21"/>
          <w:szCs w:val="21"/>
          <w:lang w:eastAsia="es-PE"/>
        </w:rPr>
      </w:pPr>
      <w:r w:rsidRPr="0067376F">
        <w:rPr>
          <w:rFonts w:ascii="Arial" w:eastAsiaTheme="minorEastAsia" w:hAnsi="Arial" w:cs="Arial"/>
          <w:sz w:val="21"/>
          <w:szCs w:val="21"/>
          <w:lang w:eastAsia="es-PE"/>
        </w:rPr>
        <w:t xml:space="preserve">Que, el artículo </w:t>
      </w:r>
      <w:r>
        <w:rPr>
          <w:rFonts w:ascii="Arial" w:eastAsiaTheme="minorEastAsia" w:hAnsi="Arial" w:cs="Arial"/>
          <w:sz w:val="21"/>
          <w:szCs w:val="21"/>
          <w:lang w:eastAsia="es-PE"/>
        </w:rPr>
        <w:t>28</w:t>
      </w:r>
      <w:r w:rsidRPr="0067376F">
        <w:rPr>
          <w:rFonts w:ascii="Arial" w:eastAsiaTheme="minorEastAsia" w:hAnsi="Arial" w:cs="Arial"/>
          <w:sz w:val="21"/>
          <w:szCs w:val="21"/>
          <w:lang w:eastAsia="es-PE"/>
        </w:rPr>
        <w:t xml:space="preserve"> de</w:t>
      </w:r>
      <w:r>
        <w:rPr>
          <w:rFonts w:ascii="Arial" w:eastAsiaTheme="minorEastAsia" w:hAnsi="Arial" w:cs="Arial"/>
          <w:sz w:val="21"/>
          <w:szCs w:val="21"/>
          <w:lang w:eastAsia="es-PE"/>
        </w:rPr>
        <w:t>l mismo Reglamento señala que l</w:t>
      </w:r>
      <w:r w:rsidRPr="00547316">
        <w:rPr>
          <w:rFonts w:ascii="Arial" w:eastAsiaTheme="minorEastAsia" w:hAnsi="Arial" w:cs="Arial"/>
          <w:sz w:val="21"/>
          <w:szCs w:val="21"/>
          <w:lang w:eastAsia="es-PE"/>
        </w:rPr>
        <w:t xml:space="preserve">as medidas y planes de los estudios ambientales </w:t>
      </w:r>
      <w:r w:rsidR="00B1597D">
        <w:rPr>
          <w:rFonts w:ascii="Arial" w:eastAsiaTheme="minorEastAsia" w:hAnsi="Arial" w:cs="Arial"/>
          <w:sz w:val="21"/>
          <w:szCs w:val="21"/>
          <w:lang w:eastAsia="es-PE"/>
        </w:rPr>
        <w:t>que</w:t>
      </w:r>
      <w:r>
        <w:rPr>
          <w:rFonts w:ascii="Arial" w:eastAsiaTheme="minorEastAsia" w:hAnsi="Arial" w:cs="Arial"/>
          <w:sz w:val="21"/>
          <w:szCs w:val="21"/>
          <w:lang w:eastAsia="es-PE"/>
        </w:rPr>
        <w:t xml:space="preserve"> </w:t>
      </w:r>
      <w:r w:rsidRPr="00B1597D">
        <w:rPr>
          <w:rFonts w:ascii="Arial" w:eastAsiaTheme="minorEastAsia" w:hAnsi="Arial" w:cs="Arial"/>
          <w:sz w:val="21"/>
          <w:szCs w:val="21"/>
          <w:lang w:eastAsia="es-PE"/>
        </w:rPr>
        <w:t>son parte integrante de la Estrategia de Manejo Ambiental</w:t>
      </w:r>
      <w:r w:rsidRPr="00547316">
        <w:rPr>
          <w:rFonts w:ascii="Arial" w:eastAsiaTheme="minorEastAsia" w:hAnsi="Arial" w:cs="Arial"/>
          <w:sz w:val="21"/>
          <w:szCs w:val="21"/>
          <w:lang w:eastAsia="es-PE"/>
        </w:rPr>
        <w:t xml:space="preserve">, están sujetos a actualización cada vez que se realicen cambios o modificaciones que varíen de </w:t>
      </w:r>
      <w:r w:rsidRPr="00547316">
        <w:rPr>
          <w:rFonts w:ascii="Arial" w:eastAsiaTheme="minorEastAsia" w:hAnsi="Arial" w:cs="Arial"/>
          <w:sz w:val="21"/>
          <w:szCs w:val="21"/>
          <w:lang w:eastAsia="es-PE"/>
        </w:rPr>
        <w:lastRenderedPageBreak/>
        <w:t>manera significativa el alcance o posibles impactos del proyecto de inversión materia del estudio ambiental aprobado o en caso que se aprueben nuevas normas que así lo determinen</w:t>
      </w:r>
      <w:r w:rsidR="00B1597D">
        <w:rPr>
          <w:rFonts w:ascii="Arial" w:eastAsiaTheme="minorEastAsia" w:hAnsi="Arial" w:cs="Arial"/>
          <w:sz w:val="21"/>
          <w:szCs w:val="21"/>
          <w:lang w:eastAsia="es-PE"/>
        </w:rPr>
        <w:t>, y que por tanto l</w:t>
      </w:r>
      <w:r w:rsidRPr="00547316">
        <w:rPr>
          <w:rFonts w:ascii="Arial" w:eastAsiaTheme="minorEastAsia" w:hAnsi="Arial" w:cs="Arial"/>
          <w:sz w:val="21"/>
          <w:szCs w:val="21"/>
          <w:lang w:eastAsia="es-PE"/>
        </w:rPr>
        <w:t>a modificación del estudio ambiental o la aprobación de instrumentos de gestión ambiental complementarios, implica necesariamente y según corresponda, la actualización de los planes originalmente aprobados al emitirse la Certificación Ambiental</w:t>
      </w:r>
      <w:r w:rsidR="00B1597D">
        <w:rPr>
          <w:rFonts w:ascii="Arial" w:eastAsiaTheme="minorEastAsia" w:hAnsi="Arial" w:cs="Arial"/>
          <w:sz w:val="21"/>
          <w:szCs w:val="21"/>
          <w:lang w:eastAsia="es-PE"/>
        </w:rPr>
        <w:t>;</w:t>
      </w:r>
    </w:p>
    <w:p w14:paraId="3AD85490" w14:textId="77777777" w:rsidR="00547316" w:rsidRDefault="00547316"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p>
    <w:p w14:paraId="1830F8E6"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r w:rsidRPr="0067376F">
        <w:rPr>
          <w:rFonts w:ascii="Arial" w:eastAsiaTheme="minorEastAsia" w:hAnsi="Arial" w:cs="Arial"/>
          <w:sz w:val="21"/>
          <w:szCs w:val="21"/>
          <w:lang w:eastAsia="es-PE"/>
        </w:rPr>
        <w:t>Que, asimismo, mediante Decreto Supremo Nº 039-2014-EM, se aprobó el Reglamento para la Protección Ambiental en las Actividades de Hidrocarburos, que tiene por objeto normar la protección y gestión ambiental en las Actividades de Hidrocarburos, con el fin primordial de prevenir, minimizar, rehabilitar, remediar y compensar los impactos ambientales negativos derivados de tales actividades, para propender al desarrollo sostenible;</w:t>
      </w:r>
    </w:p>
    <w:p w14:paraId="29C94834" w14:textId="77777777" w:rsidR="0090155A" w:rsidRDefault="0090155A" w:rsidP="0090155A">
      <w:pPr>
        <w:pStyle w:val="Sinespaciado"/>
        <w:jc w:val="both"/>
        <w:rPr>
          <w:rFonts w:ascii="Arial" w:eastAsiaTheme="minorEastAsia" w:hAnsi="Arial" w:cs="Arial"/>
          <w:sz w:val="21"/>
          <w:szCs w:val="21"/>
          <w:lang w:eastAsia="es-PE"/>
        </w:rPr>
      </w:pPr>
    </w:p>
    <w:p w14:paraId="29E3B2A8" w14:textId="3521C8DE" w:rsidR="00551AC0" w:rsidRPr="00B1597D" w:rsidRDefault="0080448E" w:rsidP="00B1597D">
      <w:pPr>
        <w:pStyle w:val="Sinespaciado"/>
        <w:ind w:firstLine="567"/>
        <w:jc w:val="both"/>
        <w:rPr>
          <w:rFonts w:ascii="Arial" w:eastAsiaTheme="minorEastAsia" w:hAnsi="Arial" w:cs="Arial"/>
          <w:sz w:val="21"/>
          <w:szCs w:val="21"/>
          <w:lang w:eastAsia="es-PE"/>
        </w:rPr>
      </w:pPr>
      <w:r w:rsidRPr="00B1597D">
        <w:rPr>
          <w:rFonts w:ascii="Arial" w:eastAsiaTheme="minorEastAsia" w:hAnsi="Arial" w:cs="Arial"/>
          <w:sz w:val="21"/>
          <w:szCs w:val="21"/>
          <w:lang w:eastAsia="es-PE"/>
        </w:rPr>
        <w:t xml:space="preserve">Que, </w:t>
      </w:r>
      <w:r w:rsidR="00551AC0" w:rsidRPr="00B1597D">
        <w:rPr>
          <w:rFonts w:ascii="Arial" w:eastAsiaTheme="minorEastAsia" w:hAnsi="Arial" w:cs="Arial"/>
          <w:sz w:val="21"/>
          <w:szCs w:val="21"/>
          <w:lang w:eastAsia="es-PE"/>
        </w:rPr>
        <w:t xml:space="preserve">se ha identificado la existencia de Titulares de las Actividades de Hidrocarburos, cuyo título habilitante se encuentra próximo a vencer y que dentro de un mismo lote o instalación y para un mismo proyecto cuenta con </w:t>
      </w:r>
      <w:r w:rsidR="009248B4">
        <w:rPr>
          <w:rFonts w:ascii="Arial" w:eastAsiaTheme="minorEastAsia" w:hAnsi="Arial" w:cs="Arial"/>
          <w:sz w:val="21"/>
          <w:szCs w:val="21"/>
          <w:lang w:eastAsia="es-PE"/>
        </w:rPr>
        <w:t xml:space="preserve">un conjunto no integrado </w:t>
      </w:r>
      <w:r w:rsidR="00551AC0" w:rsidRPr="00B1597D">
        <w:rPr>
          <w:rFonts w:ascii="Arial" w:eastAsiaTheme="minorEastAsia" w:hAnsi="Arial" w:cs="Arial"/>
          <w:sz w:val="21"/>
          <w:szCs w:val="21"/>
          <w:lang w:eastAsia="es-PE"/>
        </w:rPr>
        <w:t>de Instrumentos de Gestión Ambiental, aprobados a la fecha en el marco del SEIA y complementarios</w:t>
      </w:r>
      <w:r w:rsidR="009248B4">
        <w:rPr>
          <w:rFonts w:ascii="Arial" w:eastAsiaTheme="minorEastAsia" w:hAnsi="Arial" w:cs="Arial"/>
          <w:sz w:val="21"/>
          <w:szCs w:val="21"/>
          <w:lang w:eastAsia="es-PE"/>
        </w:rPr>
        <w:t>, siendo</w:t>
      </w:r>
      <w:r w:rsidR="00551AC0" w:rsidRPr="00B1597D">
        <w:rPr>
          <w:rFonts w:ascii="Arial" w:eastAsiaTheme="minorEastAsia" w:hAnsi="Arial" w:cs="Arial"/>
          <w:sz w:val="21"/>
          <w:szCs w:val="21"/>
          <w:lang w:eastAsia="es-PE"/>
        </w:rPr>
        <w:t xml:space="preserve"> que est</w:t>
      </w:r>
      <w:r w:rsidR="009248B4">
        <w:rPr>
          <w:rFonts w:ascii="Arial" w:eastAsiaTheme="minorEastAsia" w:hAnsi="Arial" w:cs="Arial"/>
          <w:sz w:val="21"/>
          <w:szCs w:val="21"/>
          <w:lang w:eastAsia="es-PE"/>
        </w:rPr>
        <w:t xml:space="preserve">a </w:t>
      </w:r>
      <w:r w:rsidR="00551AC0" w:rsidRPr="00B1597D">
        <w:rPr>
          <w:rFonts w:ascii="Arial" w:eastAsiaTheme="minorEastAsia" w:hAnsi="Arial" w:cs="Arial"/>
          <w:sz w:val="21"/>
          <w:szCs w:val="21"/>
          <w:lang w:eastAsia="es-PE"/>
        </w:rPr>
        <w:t xml:space="preserve">situación dificulta el cumplimiento adecuado de la totalidad de las obligaciones ambientales en la totalidad del proyecto por parte del Titular y no coadyuva a una fiscalización ambiental oportuna de dichas obligaciones por parte de la </w:t>
      </w:r>
      <w:r w:rsidR="009248B4">
        <w:rPr>
          <w:rFonts w:ascii="Arial" w:eastAsiaTheme="minorEastAsia" w:hAnsi="Arial" w:cs="Arial"/>
          <w:sz w:val="21"/>
          <w:szCs w:val="21"/>
          <w:lang w:eastAsia="es-PE"/>
        </w:rPr>
        <w:t>A</w:t>
      </w:r>
      <w:r w:rsidR="00551AC0" w:rsidRPr="00B1597D">
        <w:rPr>
          <w:rFonts w:ascii="Arial" w:eastAsiaTheme="minorEastAsia" w:hAnsi="Arial" w:cs="Arial"/>
          <w:sz w:val="21"/>
          <w:szCs w:val="21"/>
          <w:lang w:eastAsia="es-PE"/>
        </w:rPr>
        <w:t xml:space="preserve">utoridad </w:t>
      </w:r>
      <w:r w:rsidR="009248B4">
        <w:rPr>
          <w:rFonts w:ascii="Arial" w:eastAsiaTheme="minorEastAsia" w:hAnsi="Arial" w:cs="Arial"/>
          <w:sz w:val="21"/>
          <w:szCs w:val="21"/>
          <w:lang w:eastAsia="es-PE"/>
        </w:rPr>
        <w:t>C</w:t>
      </w:r>
      <w:r w:rsidR="00551AC0" w:rsidRPr="00B1597D">
        <w:rPr>
          <w:rFonts w:ascii="Arial" w:eastAsiaTheme="minorEastAsia" w:hAnsi="Arial" w:cs="Arial"/>
          <w:sz w:val="21"/>
          <w:szCs w:val="21"/>
          <w:lang w:eastAsia="es-PE"/>
        </w:rPr>
        <w:t>ompetente</w:t>
      </w:r>
      <w:r w:rsidR="00F05E14">
        <w:rPr>
          <w:rFonts w:ascii="Arial" w:eastAsiaTheme="minorEastAsia" w:hAnsi="Arial" w:cs="Arial"/>
          <w:sz w:val="21"/>
          <w:szCs w:val="21"/>
          <w:lang w:eastAsia="es-PE"/>
        </w:rPr>
        <w:t>;</w:t>
      </w:r>
    </w:p>
    <w:p w14:paraId="1F49A09D" w14:textId="77777777" w:rsidR="00551AC0" w:rsidRDefault="00551AC0" w:rsidP="0080448E">
      <w:pPr>
        <w:autoSpaceDE w:val="0"/>
        <w:autoSpaceDN w:val="0"/>
        <w:adjustRightInd w:val="0"/>
        <w:spacing w:after="0" w:line="240" w:lineRule="auto"/>
        <w:ind w:firstLine="567"/>
        <w:jc w:val="both"/>
        <w:rPr>
          <w:rFonts w:ascii="Arial" w:eastAsiaTheme="minorEastAsia" w:hAnsi="Arial" w:cs="Arial"/>
          <w:sz w:val="21"/>
          <w:szCs w:val="21"/>
          <w:highlight w:val="yellow"/>
          <w:lang w:eastAsia="es-PE"/>
        </w:rPr>
      </w:pPr>
    </w:p>
    <w:p w14:paraId="66A368BF" w14:textId="77777777" w:rsidR="00B1597D" w:rsidRPr="009248B4" w:rsidRDefault="00551AC0" w:rsidP="00CC6737">
      <w:pPr>
        <w:pStyle w:val="Sinespaciado"/>
        <w:ind w:firstLine="567"/>
        <w:jc w:val="both"/>
        <w:rPr>
          <w:rFonts w:ascii="Arial" w:eastAsiaTheme="minorEastAsia" w:hAnsi="Arial" w:cs="Arial"/>
          <w:sz w:val="21"/>
          <w:szCs w:val="21"/>
          <w:lang w:eastAsia="es-PE"/>
        </w:rPr>
      </w:pPr>
      <w:r w:rsidRPr="00CC6737">
        <w:rPr>
          <w:rFonts w:ascii="Arial" w:eastAsiaTheme="minorEastAsia" w:hAnsi="Arial" w:cs="Arial"/>
          <w:sz w:val="21"/>
          <w:szCs w:val="21"/>
          <w:lang w:eastAsia="es-PE"/>
        </w:rPr>
        <w:t xml:space="preserve">Que, de acuerdo a lo indicado en el párrafo precedente, </w:t>
      </w:r>
      <w:r w:rsidR="0080448E" w:rsidRPr="00CC6737">
        <w:rPr>
          <w:rFonts w:ascii="Arial" w:eastAsiaTheme="minorEastAsia" w:hAnsi="Arial" w:cs="Arial"/>
          <w:sz w:val="21"/>
          <w:szCs w:val="21"/>
          <w:lang w:eastAsia="es-PE"/>
        </w:rPr>
        <w:t>resulta necesario establecer reglas aplicables para l</w:t>
      </w:r>
      <w:r w:rsidR="00B1597D" w:rsidRPr="00CC6737">
        <w:rPr>
          <w:rFonts w:ascii="Arial" w:eastAsiaTheme="minorEastAsia" w:hAnsi="Arial" w:cs="Arial"/>
          <w:sz w:val="21"/>
          <w:szCs w:val="21"/>
          <w:lang w:eastAsia="es-PE"/>
        </w:rPr>
        <w:t xml:space="preserve">os nuevos Titulares de las Actividades de Exploración y Explotación de Hidrocarburos en cuyos Lotes otorgados se haya realizado dichas Actividades de Hidrocarburos, y que cuenten con Estudios Ambientales en el marco del SEIA como con Instrumentos de Gestión Ambiental complementarios al SEIA aprobados, </w:t>
      </w:r>
      <w:r w:rsidR="00CC6737" w:rsidRPr="00CC6737">
        <w:rPr>
          <w:rFonts w:ascii="Arial" w:eastAsiaTheme="minorEastAsia" w:hAnsi="Arial" w:cs="Arial"/>
          <w:sz w:val="21"/>
          <w:szCs w:val="21"/>
          <w:lang w:eastAsia="es-PE"/>
        </w:rPr>
        <w:t xml:space="preserve">a fin de que </w:t>
      </w:r>
      <w:r w:rsidR="00B1597D" w:rsidRPr="00CC6737">
        <w:rPr>
          <w:rFonts w:ascii="Arial" w:eastAsiaTheme="minorEastAsia" w:hAnsi="Arial" w:cs="Arial"/>
          <w:sz w:val="21"/>
          <w:szCs w:val="21"/>
          <w:lang w:eastAsia="es-PE"/>
        </w:rPr>
        <w:t>present</w:t>
      </w:r>
      <w:r w:rsidR="00CC6737" w:rsidRPr="00CC6737">
        <w:rPr>
          <w:rFonts w:ascii="Arial" w:eastAsiaTheme="minorEastAsia" w:hAnsi="Arial" w:cs="Arial"/>
          <w:sz w:val="21"/>
          <w:szCs w:val="21"/>
          <w:lang w:eastAsia="es-PE"/>
        </w:rPr>
        <w:t>en</w:t>
      </w:r>
      <w:r w:rsidR="00B1597D" w:rsidRPr="00CC6737">
        <w:rPr>
          <w:rFonts w:ascii="Arial" w:eastAsiaTheme="minorEastAsia" w:hAnsi="Arial" w:cs="Arial"/>
          <w:sz w:val="21"/>
          <w:szCs w:val="21"/>
          <w:lang w:eastAsia="es-PE"/>
        </w:rPr>
        <w:t xml:space="preserve"> la Modificación de</w:t>
      </w:r>
      <w:r w:rsidR="00CC6737" w:rsidRPr="00CC6737">
        <w:rPr>
          <w:rFonts w:ascii="Arial" w:eastAsiaTheme="minorEastAsia" w:hAnsi="Arial" w:cs="Arial"/>
          <w:sz w:val="21"/>
          <w:szCs w:val="21"/>
          <w:lang w:eastAsia="es-PE"/>
        </w:rPr>
        <w:t xml:space="preserve"> sus Instrumentos de Gestión Ambiental </w:t>
      </w:r>
      <w:r w:rsidR="00B1597D" w:rsidRPr="00CC6737">
        <w:rPr>
          <w:rFonts w:ascii="Arial" w:eastAsiaTheme="minorEastAsia" w:hAnsi="Arial" w:cs="Arial"/>
          <w:sz w:val="21"/>
          <w:szCs w:val="21"/>
          <w:lang w:eastAsia="es-PE"/>
        </w:rPr>
        <w:t xml:space="preserve">con la finalidad de asegurar que el desarrollo de todas sus actividades y el contenido de sus respectivos Planes se ajusten a lo dispuesto en la normatividad ambiental vigente a la fecha de la firma del </w:t>
      </w:r>
      <w:r w:rsidR="00CC6737" w:rsidRPr="00CC6737">
        <w:rPr>
          <w:rFonts w:ascii="Arial" w:eastAsiaTheme="minorEastAsia" w:hAnsi="Arial" w:cs="Arial"/>
          <w:sz w:val="21"/>
          <w:szCs w:val="21"/>
          <w:lang w:eastAsia="es-PE"/>
        </w:rPr>
        <w:t>respectivo</w:t>
      </w:r>
      <w:r w:rsidR="00B1597D" w:rsidRPr="00CC6737">
        <w:rPr>
          <w:rFonts w:ascii="Arial" w:eastAsiaTheme="minorEastAsia" w:hAnsi="Arial" w:cs="Arial"/>
          <w:sz w:val="21"/>
          <w:szCs w:val="21"/>
          <w:lang w:eastAsia="es-PE"/>
        </w:rPr>
        <w:t xml:space="preserve"> </w:t>
      </w:r>
      <w:r w:rsidR="00B1597D" w:rsidRPr="009248B4">
        <w:rPr>
          <w:rFonts w:ascii="Arial" w:eastAsiaTheme="minorEastAsia" w:hAnsi="Arial" w:cs="Arial"/>
          <w:sz w:val="21"/>
          <w:szCs w:val="21"/>
          <w:lang w:eastAsia="es-PE"/>
        </w:rPr>
        <w:t>Contrato de Licencia</w:t>
      </w:r>
      <w:r w:rsidR="009248B4" w:rsidRPr="009248B4">
        <w:rPr>
          <w:rFonts w:ascii="Arial" w:eastAsiaTheme="minorEastAsia" w:hAnsi="Arial" w:cs="Arial"/>
          <w:sz w:val="21"/>
          <w:szCs w:val="21"/>
          <w:lang w:eastAsia="es-PE"/>
        </w:rPr>
        <w:t xml:space="preserve"> para la </w:t>
      </w:r>
      <w:r w:rsidR="009248B4" w:rsidRPr="009248B4">
        <w:rPr>
          <w:rStyle w:val="nfasis"/>
          <w:rFonts w:ascii="Arial" w:eastAsia="Calibri" w:hAnsi="Arial" w:cs="Arial"/>
          <w:bCs/>
          <w:i w:val="0"/>
          <w:iCs w:val="0"/>
          <w:sz w:val="21"/>
          <w:szCs w:val="21"/>
          <w:shd w:val="clear" w:color="auto" w:fill="FFFFFF"/>
        </w:rPr>
        <w:t>Exploración</w:t>
      </w:r>
      <w:r w:rsidR="009248B4" w:rsidRPr="009248B4">
        <w:rPr>
          <w:rFonts w:ascii="Arial" w:hAnsi="Arial" w:cs="Arial"/>
          <w:sz w:val="21"/>
          <w:szCs w:val="21"/>
          <w:shd w:val="clear" w:color="auto" w:fill="FFFFFF"/>
        </w:rPr>
        <w:t> y </w:t>
      </w:r>
      <w:r w:rsidR="009248B4" w:rsidRPr="009248B4">
        <w:rPr>
          <w:rStyle w:val="nfasis"/>
          <w:rFonts w:ascii="Arial" w:eastAsia="Calibri" w:hAnsi="Arial" w:cs="Arial"/>
          <w:bCs/>
          <w:i w:val="0"/>
          <w:iCs w:val="0"/>
          <w:sz w:val="21"/>
          <w:szCs w:val="21"/>
          <w:shd w:val="clear" w:color="auto" w:fill="FFFFFF"/>
        </w:rPr>
        <w:t>Explotación</w:t>
      </w:r>
      <w:r w:rsidR="009248B4" w:rsidRPr="009248B4">
        <w:rPr>
          <w:rFonts w:ascii="Arial" w:hAnsi="Arial" w:cs="Arial"/>
          <w:sz w:val="21"/>
          <w:szCs w:val="21"/>
          <w:shd w:val="clear" w:color="auto" w:fill="FFFFFF"/>
        </w:rPr>
        <w:t> de Hidrocarburos y/o Contratos de Servicios</w:t>
      </w:r>
      <w:r w:rsidR="00CC6737" w:rsidRPr="009248B4">
        <w:rPr>
          <w:rFonts w:ascii="Arial" w:eastAsiaTheme="minorEastAsia" w:hAnsi="Arial" w:cs="Arial"/>
          <w:sz w:val="21"/>
          <w:szCs w:val="21"/>
          <w:lang w:eastAsia="es-PE"/>
        </w:rPr>
        <w:t>;</w:t>
      </w:r>
    </w:p>
    <w:p w14:paraId="25F64CB1" w14:textId="77777777" w:rsidR="00CC6737" w:rsidRPr="0067376F" w:rsidRDefault="00CC6737" w:rsidP="00CC6737">
      <w:pPr>
        <w:pStyle w:val="Sinespaciado"/>
        <w:ind w:firstLine="567"/>
        <w:jc w:val="both"/>
        <w:rPr>
          <w:rFonts w:ascii="Arial" w:eastAsiaTheme="minorEastAsia" w:hAnsi="Arial" w:cs="Arial"/>
          <w:sz w:val="21"/>
          <w:szCs w:val="21"/>
          <w:lang w:eastAsia="es-PE"/>
        </w:rPr>
      </w:pPr>
    </w:p>
    <w:p w14:paraId="74E8EBF4" w14:textId="1C75956F"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r w:rsidRPr="0067376F">
        <w:rPr>
          <w:rFonts w:ascii="Arial" w:eastAsiaTheme="minorEastAsia" w:hAnsi="Arial" w:cs="Arial"/>
          <w:sz w:val="21"/>
          <w:szCs w:val="21"/>
          <w:lang w:eastAsia="es-PE"/>
        </w:rPr>
        <w:t xml:space="preserve">Que, de acuerdo a lo establecido en el literal </w:t>
      </w:r>
      <w:r w:rsidR="00DD44DA">
        <w:rPr>
          <w:rFonts w:ascii="Arial" w:eastAsiaTheme="minorEastAsia" w:hAnsi="Arial" w:cs="Arial"/>
          <w:sz w:val="21"/>
          <w:szCs w:val="21"/>
          <w:lang w:eastAsia="es-PE"/>
        </w:rPr>
        <w:t xml:space="preserve">c) del artículo 17 de la Ley del SEIA en concordancia con el literal </w:t>
      </w:r>
      <w:r w:rsidRPr="0067376F">
        <w:rPr>
          <w:rFonts w:ascii="Arial" w:eastAsiaTheme="minorEastAsia" w:hAnsi="Arial" w:cs="Arial"/>
          <w:sz w:val="21"/>
          <w:szCs w:val="21"/>
          <w:lang w:eastAsia="es-PE"/>
        </w:rPr>
        <w:t xml:space="preserve">d) del </w:t>
      </w:r>
      <w:r w:rsidR="00DD44DA">
        <w:rPr>
          <w:rFonts w:ascii="Arial" w:eastAsiaTheme="minorEastAsia" w:hAnsi="Arial" w:cs="Arial"/>
          <w:sz w:val="21"/>
          <w:szCs w:val="21"/>
          <w:lang w:eastAsia="es-PE"/>
        </w:rPr>
        <w:t>a</w:t>
      </w:r>
      <w:r w:rsidRPr="0067376F">
        <w:rPr>
          <w:rFonts w:ascii="Arial" w:eastAsiaTheme="minorEastAsia" w:hAnsi="Arial" w:cs="Arial"/>
          <w:sz w:val="21"/>
          <w:szCs w:val="21"/>
          <w:lang w:eastAsia="es-PE"/>
        </w:rPr>
        <w:t>rtículo 7 del Reglamento de la Ley Nº 27446, Ley del Sistema Nacional de Evaluación de Impacto Ambiental, el Ministerio del Ambiente, mediante Oficio N°      -2019-MINAM/VMGA/DGPIGA, remitió el Informe N°      -2019-MINAM/VMGA/DGPIGA, mediante el cual otorga la respectiva Opinión Previa Favorable;</w:t>
      </w:r>
    </w:p>
    <w:p w14:paraId="26B0DEB0"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p>
    <w:p w14:paraId="6A5BC0E7"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r w:rsidRPr="0067376F">
        <w:rPr>
          <w:rFonts w:ascii="Arial" w:eastAsiaTheme="minorEastAsia" w:hAnsi="Arial" w:cs="Arial"/>
          <w:sz w:val="21"/>
          <w:szCs w:val="21"/>
          <w:lang w:eastAsia="es-PE"/>
        </w:rPr>
        <w:t>Que, de conformidad con lo previsto en los numerales 8 y 24 del artículo 118 de la Constitución Política del Perú, el artículo 3 del Texto Único Ordenado de la Ley N° 26221, Ley Orgánica de Hidrocarburos, aprobado por Decreto Supremo N° 042-2005-EM y el Reglamento de Organización y Funciones del Ministerio de Energía y Minas, aprobado por Decreto Supremo N° 031-2007-EM, y sus modificatorias;</w:t>
      </w:r>
    </w:p>
    <w:p w14:paraId="5D045C3F"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sz w:val="21"/>
          <w:szCs w:val="21"/>
          <w:lang w:eastAsia="es-PE"/>
        </w:rPr>
      </w:pPr>
    </w:p>
    <w:p w14:paraId="0B53C02C" w14:textId="77777777" w:rsidR="0080448E" w:rsidRPr="0067376F" w:rsidRDefault="0080448E" w:rsidP="0080448E">
      <w:pPr>
        <w:autoSpaceDE w:val="0"/>
        <w:autoSpaceDN w:val="0"/>
        <w:adjustRightInd w:val="0"/>
        <w:spacing w:after="0" w:line="240" w:lineRule="auto"/>
        <w:ind w:firstLine="567"/>
        <w:jc w:val="both"/>
        <w:rPr>
          <w:rFonts w:ascii="Arial" w:eastAsiaTheme="minorEastAsia" w:hAnsi="Arial" w:cs="Arial"/>
          <w:b/>
          <w:sz w:val="21"/>
          <w:szCs w:val="21"/>
          <w:lang w:eastAsia="es-PE"/>
        </w:rPr>
      </w:pPr>
      <w:r w:rsidRPr="0067376F">
        <w:rPr>
          <w:rFonts w:ascii="Arial" w:eastAsiaTheme="minorEastAsia" w:hAnsi="Arial" w:cs="Arial"/>
          <w:b/>
          <w:sz w:val="21"/>
          <w:szCs w:val="21"/>
          <w:lang w:eastAsia="es-PE"/>
        </w:rPr>
        <w:t>DECRETA:</w:t>
      </w:r>
    </w:p>
    <w:p w14:paraId="26FFFEF3" w14:textId="77777777" w:rsidR="0080448E" w:rsidRPr="0090155A" w:rsidRDefault="0080448E" w:rsidP="0090155A">
      <w:pPr>
        <w:pStyle w:val="Sinespaciado"/>
        <w:rPr>
          <w:rFonts w:ascii="Arial" w:hAnsi="Arial" w:cs="Arial"/>
          <w:sz w:val="21"/>
          <w:szCs w:val="21"/>
        </w:rPr>
      </w:pPr>
    </w:p>
    <w:p w14:paraId="45E47523" w14:textId="0F90FFE9" w:rsidR="0080448E" w:rsidRDefault="0080448E" w:rsidP="00DF762E">
      <w:pPr>
        <w:pStyle w:val="Sinespaciado"/>
        <w:ind w:firstLine="567"/>
        <w:jc w:val="both"/>
        <w:rPr>
          <w:rFonts w:ascii="Arial" w:hAnsi="Arial" w:cs="Arial"/>
          <w:b/>
          <w:sz w:val="21"/>
          <w:szCs w:val="21"/>
        </w:rPr>
      </w:pPr>
      <w:r w:rsidRPr="0090155A">
        <w:rPr>
          <w:rFonts w:ascii="Arial" w:hAnsi="Arial" w:cs="Arial"/>
          <w:b/>
          <w:sz w:val="21"/>
          <w:szCs w:val="21"/>
        </w:rPr>
        <w:t xml:space="preserve">Artículo 1.- </w:t>
      </w:r>
      <w:r w:rsidRPr="0067376F">
        <w:rPr>
          <w:rFonts w:ascii="Arial" w:hAnsi="Arial" w:cs="Arial"/>
          <w:b/>
          <w:sz w:val="21"/>
          <w:szCs w:val="21"/>
        </w:rPr>
        <w:t>Incorporación de artículo al Reglamento aprobado por Decreto Supremo Nº 039-2014-EM</w:t>
      </w:r>
    </w:p>
    <w:p w14:paraId="48B63BE0" w14:textId="77777777" w:rsidR="00FB6AA8" w:rsidRPr="0067376F" w:rsidRDefault="00FB6AA8" w:rsidP="00DF762E">
      <w:pPr>
        <w:pStyle w:val="Sinespaciado"/>
        <w:ind w:firstLine="567"/>
        <w:jc w:val="both"/>
        <w:rPr>
          <w:rFonts w:ascii="Arial" w:hAnsi="Arial" w:cs="Arial"/>
          <w:b/>
          <w:sz w:val="21"/>
          <w:szCs w:val="21"/>
        </w:rPr>
      </w:pPr>
    </w:p>
    <w:p w14:paraId="686E96C8" w14:textId="222D677B" w:rsidR="0067376F" w:rsidRPr="0067376F" w:rsidRDefault="0067376F" w:rsidP="0067376F">
      <w:pPr>
        <w:spacing w:after="0" w:line="240" w:lineRule="auto"/>
        <w:ind w:firstLine="567"/>
        <w:jc w:val="both"/>
        <w:rPr>
          <w:rFonts w:ascii="Arial" w:hAnsi="Arial" w:cs="Arial"/>
          <w:color w:val="000000"/>
          <w:sz w:val="21"/>
          <w:szCs w:val="21"/>
        </w:rPr>
      </w:pPr>
      <w:r>
        <w:rPr>
          <w:rFonts w:ascii="Arial" w:hAnsi="Arial" w:cs="Arial"/>
          <w:sz w:val="21"/>
          <w:szCs w:val="21"/>
        </w:rPr>
        <w:t>I</w:t>
      </w:r>
      <w:r w:rsidRPr="0067376F">
        <w:rPr>
          <w:rFonts w:ascii="Arial" w:hAnsi="Arial" w:cs="Arial"/>
          <w:sz w:val="21"/>
          <w:szCs w:val="21"/>
        </w:rPr>
        <w:t>ncorpórese</w:t>
      </w:r>
      <w:r w:rsidR="0080448E" w:rsidRPr="0067376F">
        <w:rPr>
          <w:rFonts w:ascii="Arial" w:hAnsi="Arial" w:cs="Arial"/>
          <w:sz w:val="21"/>
          <w:szCs w:val="21"/>
        </w:rPr>
        <w:t xml:space="preserve"> </w:t>
      </w:r>
      <w:r w:rsidR="00DF762E">
        <w:rPr>
          <w:rFonts w:ascii="Arial" w:hAnsi="Arial" w:cs="Arial"/>
          <w:sz w:val="21"/>
          <w:szCs w:val="21"/>
        </w:rPr>
        <w:t>e</w:t>
      </w:r>
      <w:r w:rsidR="0080448E" w:rsidRPr="0067376F">
        <w:rPr>
          <w:rFonts w:ascii="Arial" w:hAnsi="Arial" w:cs="Arial"/>
          <w:sz w:val="21"/>
          <w:szCs w:val="21"/>
        </w:rPr>
        <w:t>l artículo</w:t>
      </w:r>
      <w:r w:rsidR="00F22B8A">
        <w:rPr>
          <w:rFonts w:ascii="Arial" w:hAnsi="Arial" w:cs="Arial"/>
          <w:sz w:val="21"/>
          <w:szCs w:val="21"/>
        </w:rPr>
        <w:t xml:space="preserve"> </w:t>
      </w:r>
      <w:r w:rsidRPr="0067376F">
        <w:rPr>
          <w:rFonts w:ascii="Arial" w:hAnsi="Arial" w:cs="Arial"/>
          <w:sz w:val="21"/>
          <w:szCs w:val="21"/>
        </w:rPr>
        <w:t xml:space="preserve">41-A </w:t>
      </w:r>
      <w:r w:rsidR="0080448E" w:rsidRPr="0067376F">
        <w:rPr>
          <w:rFonts w:ascii="Arial" w:hAnsi="Arial" w:cs="Arial"/>
          <w:sz w:val="21"/>
          <w:szCs w:val="21"/>
        </w:rPr>
        <w:t>al Reglamento para la Protección Ambiental en las Actividades de Hidrocarburos, aprobado por Decreto Supremo</w:t>
      </w:r>
      <w:r w:rsidR="0080448E" w:rsidRPr="0067376F">
        <w:rPr>
          <w:rFonts w:ascii="Arial" w:hAnsi="Arial" w:cs="Arial"/>
          <w:color w:val="000000"/>
          <w:sz w:val="21"/>
          <w:szCs w:val="21"/>
        </w:rPr>
        <w:t xml:space="preserve"> Nº 039-2014-EM, de acuerdo al siguiente texto:</w:t>
      </w:r>
    </w:p>
    <w:p w14:paraId="759B530A" w14:textId="77777777" w:rsidR="0067376F" w:rsidRPr="0067376F" w:rsidRDefault="0067376F" w:rsidP="0067376F">
      <w:pPr>
        <w:spacing w:after="0" w:line="240" w:lineRule="auto"/>
        <w:ind w:firstLine="567"/>
        <w:jc w:val="both"/>
        <w:rPr>
          <w:rFonts w:ascii="Arial" w:hAnsi="Arial" w:cs="Arial"/>
          <w:b/>
          <w:bCs/>
          <w:color w:val="000000"/>
          <w:sz w:val="21"/>
          <w:szCs w:val="21"/>
        </w:rPr>
      </w:pPr>
    </w:p>
    <w:p w14:paraId="62CDA569" w14:textId="30C3C09B" w:rsidR="0067376F" w:rsidRDefault="0067376F" w:rsidP="0042084C">
      <w:pPr>
        <w:spacing w:after="0" w:line="240" w:lineRule="auto"/>
        <w:ind w:left="709"/>
        <w:jc w:val="both"/>
        <w:rPr>
          <w:rFonts w:ascii="Arial" w:hAnsi="Arial" w:cs="Arial"/>
          <w:b/>
          <w:bCs/>
          <w:color w:val="000000"/>
          <w:sz w:val="21"/>
          <w:szCs w:val="21"/>
        </w:rPr>
      </w:pPr>
      <w:r>
        <w:rPr>
          <w:rFonts w:ascii="Arial" w:hAnsi="Arial" w:cs="Arial"/>
          <w:b/>
          <w:bCs/>
          <w:color w:val="000000"/>
          <w:sz w:val="21"/>
          <w:szCs w:val="21"/>
        </w:rPr>
        <w:t>“</w:t>
      </w:r>
      <w:r w:rsidRPr="0067376F">
        <w:rPr>
          <w:rFonts w:ascii="Arial" w:hAnsi="Arial" w:cs="Arial"/>
          <w:b/>
          <w:bCs/>
          <w:color w:val="000000"/>
          <w:sz w:val="21"/>
          <w:szCs w:val="21"/>
        </w:rPr>
        <w:t>Artículo 41-A.- Obligatoriedad de la Modificación del Estudio</w:t>
      </w:r>
      <w:r w:rsidR="00154CD0">
        <w:rPr>
          <w:rFonts w:ascii="Arial" w:hAnsi="Arial" w:cs="Arial"/>
          <w:b/>
          <w:bCs/>
          <w:color w:val="000000"/>
          <w:sz w:val="21"/>
          <w:szCs w:val="21"/>
        </w:rPr>
        <w:t xml:space="preserve"> de Impacto</w:t>
      </w:r>
      <w:r w:rsidRPr="0067376F">
        <w:rPr>
          <w:rFonts w:ascii="Arial" w:hAnsi="Arial" w:cs="Arial"/>
          <w:b/>
          <w:bCs/>
          <w:color w:val="000000"/>
          <w:sz w:val="21"/>
          <w:szCs w:val="21"/>
        </w:rPr>
        <w:t xml:space="preserve"> Ambiental</w:t>
      </w:r>
      <w:r w:rsidR="005C2962">
        <w:rPr>
          <w:rFonts w:ascii="Arial" w:hAnsi="Arial" w:cs="Arial"/>
          <w:b/>
          <w:bCs/>
          <w:color w:val="000000"/>
          <w:sz w:val="21"/>
          <w:szCs w:val="21"/>
        </w:rPr>
        <w:t xml:space="preserve"> para Titulares de las Actividades de Exploración y Explotación de Hidrocarburos de nuevos contratos</w:t>
      </w:r>
    </w:p>
    <w:p w14:paraId="60C0D665" w14:textId="77777777" w:rsidR="00032665" w:rsidRPr="0067376F" w:rsidRDefault="00032665" w:rsidP="0042084C">
      <w:pPr>
        <w:spacing w:after="0" w:line="240" w:lineRule="auto"/>
        <w:ind w:left="709"/>
        <w:jc w:val="both"/>
        <w:rPr>
          <w:rFonts w:ascii="Arial" w:hAnsi="Arial" w:cs="Arial"/>
          <w:color w:val="000000"/>
          <w:sz w:val="21"/>
          <w:szCs w:val="21"/>
        </w:rPr>
      </w:pPr>
    </w:p>
    <w:p w14:paraId="4C5BCB52" w14:textId="7B50F376" w:rsidR="00B35CE8" w:rsidRPr="00787587" w:rsidRDefault="00F22B8A" w:rsidP="0042084C">
      <w:pPr>
        <w:pStyle w:val="Sinespaciado"/>
        <w:ind w:left="709"/>
        <w:jc w:val="both"/>
        <w:rPr>
          <w:rFonts w:ascii="Arial" w:hAnsi="Arial" w:cs="Arial"/>
          <w:sz w:val="21"/>
          <w:szCs w:val="21"/>
        </w:rPr>
      </w:pPr>
      <w:r w:rsidRPr="00787587">
        <w:rPr>
          <w:rFonts w:ascii="Arial" w:hAnsi="Arial" w:cs="Arial"/>
          <w:sz w:val="21"/>
          <w:szCs w:val="21"/>
        </w:rPr>
        <w:t>El/La</w:t>
      </w:r>
      <w:r w:rsidR="0067376F" w:rsidRPr="00787587">
        <w:rPr>
          <w:rFonts w:ascii="Arial" w:hAnsi="Arial" w:cs="Arial"/>
          <w:sz w:val="21"/>
          <w:szCs w:val="21"/>
        </w:rPr>
        <w:t xml:space="preserve"> Titular de las Actividades de Exploración y Explotación de Hidrocarburos </w:t>
      </w:r>
      <w:r w:rsidR="00B35CE8" w:rsidRPr="00787587">
        <w:rPr>
          <w:rFonts w:ascii="Arial" w:hAnsi="Arial" w:cs="Arial"/>
          <w:sz w:val="21"/>
          <w:szCs w:val="21"/>
        </w:rPr>
        <w:t xml:space="preserve">de </w:t>
      </w:r>
      <w:r w:rsidRPr="00787587">
        <w:rPr>
          <w:rFonts w:ascii="Arial" w:hAnsi="Arial" w:cs="Arial"/>
          <w:sz w:val="21"/>
          <w:szCs w:val="21"/>
        </w:rPr>
        <w:t xml:space="preserve">un </w:t>
      </w:r>
      <w:r w:rsidR="00B35CE8" w:rsidRPr="00787587">
        <w:rPr>
          <w:rFonts w:ascii="Arial" w:hAnsi="Arial" w:cs="Arial"/>
          <w:sz w:val="21"/>
          <w:szCs w:val="21"/>
        </w:rPr>
        <w:t xml:space="preserve">nuevo </w:t>
      </w:r>
      <w:r w:rsidR="00F76048" w:rsidRPr="00787587">
        <w:rPr>
          <w:rFonts w:ascii="Arial" w:hAnsi="Arial" w:cs="Arial"/>
          <w:sz w:val="21"/>
          <w:szCs w:val="21"/>
        </w:rPr>
        <w:t>C</w:t>
      </w:r>
      <w:r w:rsidR="00B35CE8" w:rsidRPr="00787587">
        <w:rPr>
          <w:rFonts w:ascii="Arial" w:hAnsi="Arial" w:cs="Arial"/>
          <w:sz w:val="21"/>
          <w:szCs w:val="21"/>
        </w:rPr>
        <w:t xml:space="preserve">ontrato de </w:t>
      </w:r>
      <w:r w:rsidR="00F76048" w:rsidRPr="00787587">
        <w:rPr>
          <w:rFonts w:ascii="Arial" w:hAnsi="Arial" w:cs="Arial"/>
          <w:sz w:val="21"/>
          <w:szCs w:val="21"/>
        </w:rPr>
        <w:t>L</w:t>
      </w:r>
      <w:r w:rsidR="00B35CE8" w:rsidRPr="00787587">
        <w:rPr>
          <w:rFonts w:ascii="Arial" w:hAnsi="Arial" w:cs="Arial"/>
          <w:sz w:val="21"/>
          <w:szCs w:val="21"/>
        </w:rPr>
        <w:t xml:space="preserve">icencia o </w:t>
      </w:r>
      <w:r w:rsidR="00F76048" w:rsidRPr="00787587">
        <w:rPr>
          <w:rFonts w:ascii="Arial" w:hAnsi="Arial" w:cs="Arial"/>
          <w:sz w:val="21"/>
          <w:szCs w:val="21"/>
        </w:rPr>
        <w:t>de S</w:t>
      </w:r>
      <w:r w:rsidR="00B35CE8" w:rsidRPr="00787587">
        <w:rPr>
          <w:rFonts w:ascii="Arial" w:hAnsi="Arial" w:cs="Arial"/>
          <w:sz w:val="21"/>
          <w:szCs w:val="21"/>
        </w:rPr>
        <w:t>ervicio</w:t>
      </w:r>
      <w:r w:rsidR="00F76048" w:rsidRPr="00787587">
        <w:rPr>
          <w:rFonts w:ascii="Arial" w:hAnsi="Arial" w:cs="Arial"/>
          <w:sz w:val="21"/>
          <w:szCs w:val="21"/>
        </w:rPr>
        <w:t>s</w:t>
      </w:r>
      <w:r w:rsidR="00B35CE8" w:rsidRPr="00787587">
        <w:rPr>
          <w:rFonts w:ascii="Arial" w:hAnsi="Arial" w:cs="Arial"/>
          <w:sz w:val="21"/>
          <w:szCs w:val="21"/>
        </w:rPr>
        <w:t xml:space="preserve">, </w:t>
      </w:r>
      <w:r w:rsidR="0067376F" w:rsidRPr="00787587">
        <w:rPr>
          <w:rFonts w:ascii="Arial" w:hAnsi="Arial" w:cs="Arial"/>
          <w:sz w:val="21"/>
          <w:szCs w:val="21"/>
        </w:rPr>
        <w:t>en cuyo Lote otorgado se haya</w:t>
      </w:r>
      <w:r w:rsidR="00B35CE8" w:rsidRPr="00787587">
        <w:rPr>
          <w:rFonts w:ascii="Arial" w:hAnsi="Arial" w:cs="Arial"/>
          <w:sz w:val="21"/>
          <w:szCs w:val="21"/>
        </w:rPr>
        <w:t>n</w:t>
      </w:r>
      <w:r w:rsidR="0067376F" w:rsidRPr="00787587">
        <w:rPr>
          <w:rFonts w:ascii="Arial" w:hAnsi="Arial" w:cs="Arial"/>
          <w:sz w:val="21"/>
          <w:szCs w:val="21"/>
        </w:rPr>
        <w:t xml:space="preserve"> realizado </w:t>
      </w:r>
      <w:r w:rsidRPr="00787587">
        <w:rPr>
          <w:rFonts w:ascii="Arial" w:hAnsi="Arial" w:cs="Arial"/>
          <w:sz w:val="21"/>
          <w:szCs w:val="21"/>
        </w:rPr>
        <w:t xml:space="preserve">anteriormente </w:t>
      </w:r>
      <w:r w:rsidR="0067376F" w:rsidRPr="00787587">
        <w:rPr>
          <w:rFonts w:ascii="Arial" w:hAnsi="Arial" w:cs="Arial"/>
          <w:sz w:val="21"/>
          <w:szCs w:val="21"/>
        </w:rPr>
        <w:t>dichas Actividades de Hidrocarburos y cuente</w:t>
      </w:r>
      <w:r w:rsidR="00B35CE8" w:rsidRPr="00787587">
        <w:rPr>
          <w:rFonts w:ascii="Arial" w:hAnsi="Arial" w:cs="Arial"/>
          <w:sz w:val="21"/>
          <w:szCs w:val="21"/>
        </w:rPr>
        <w:t>n</w:t>
      </w:r>
      <w:r w:rsidR="0067376F" w:rsidRPr="00787587">
        <w:rPr>
          <w:rFonts w:ascii="Arial" w:hAnsi="Arial" w:cs="Arial"/>
          <w:sz w:val="21"/>
          <w:szCs w:val="21"/>
        </w:rPr>
        <w:t xml:space="preserve"> conjuntamente con Estudios Ambientales en el marco del SEIA </w:t>
      </w:r>
      <w:r w:rsidR="00B35CE8" w:rsidRPr="00787587">
        <w:rPr>
          <w:rFonts w:ascii="Arial" w:hAnsi="Arial" w:cs="Arial"/>
          <w:sz w:val="21"/>
          <w:szCs w:val="21"/>
        </w:rPr>
        <w:t>e</w:t>
      </w:r>
      <w:r w:rsidR="0067376F" w:rsidRPr="00787587">
        <w:rPr>
          <w:rFonts w:ascii="Arial" w:hAnsi="Arial" w:cs="Arial"/>
          <w:sz w:val="21"/>
          <w:szCs w:val="21"/>
        </w:rPr>
        <w:t xml:space="preserve"> Instrumentos de Gestión Ambiental complementarios al SEIA </w:t>
      </w:r>
      <w:r w:rsidR="00B35CE8" w:rsidRPr="00787587">
        <w:rPr>
          <w:rFonts w:ascii="Arial" w:hAnsi="Arial" w:cs="Arial"/>
          <w:sz w:val="21"/>
          <w:szCs w:val="21"/>
        </w:rPr>
        <w:t>está obligado</w:t>
      </w:r>
      <w:r w:rsidR="0021169B" w:rsidRPr="00787587">
        <w:rPr>
          <w:rFonts w:ascii="Arial" w:hAnsi="Arial" w:cs="Arial"/>
          <w:sz w:val="21"/>
          <w:szCs w:val="21"/>
        </w:rPr>
        <w:t>/obligada</w:t>
      </w:r>
      <w:r w:rsidR="00B35CE8" w:rsidRPr="00787587">
        <w:rPr>
          <w:rFonts w:ascii="Arial" w:hAnsi="Arial" w:cs="Arial"/>
          <w:sz w:val="21"/>
          <w:szCs w:val="21"/>
        </w:rPr>
        <w:t xml:space="preserve"> a</w:t>
      </w:r>
      <w:r w:rsidR="0067376F" w:rsidRPr="00787587">
        <w:rPr>
          <w:rFonts w:ascii="Arial" w:hAnsi="Arial" w:cs="Arial"/>
          <w:sz w:val="21"/>
          <w:szCs w:val="21"/>
        </w:rPr>
        <w:t xml:space="preserve"> </w:t>
      </w:r>
      <w:r w:rsidR="004A3B35" w:rsidRPr="00787587">
        <w:rPr>
          <w:rFonts w:ascii="Arial" w:hAnsi="Arial" w:cs="Arial"/>
          <w:sz w:val="21"/>
          <w:szCs w:val="21"/>
        </w:rPr>
        <w:t xml:space="preserve">obtener la aprobación de </w:t>
      </w:r>
      <w:r w:rsidR="0067376F" w:rsidRPr="00787587">
        <w:rPr>
          <w:rFonts w:ascii="Arial" w:hAnsi="Arial" w:cs="Arial"/>
          <w:sz w:val="21"/>
          <w:szCs w:val="21"/>
        </w:rPr>
        <w:t xml:space="preserve">la </w:t>
      </w:r>
      <w:r w:rsidR="0067376F" w:rsidRPr="00787587">
        <w:rPr>
          <w:rFonts w:ascii="Arial" w:hAnsi="Arial" w:cs="Arial"/>
          <w:color w:val="000000"/>
          <w:sz w:val="21"/>
          <w:szCs w:val="21"/>
        </w:rPr>
        <w:t xml:space="preserve">Modificación del Estudio </w:t>
      </w:r>
      <w:r w:rsidR="00154CD0" w:rsidRPr="00787587">
        <w:rPr>
          <w:rFonts w:ascii="Arial" w:hAnsi="Arial" w:cs="Arial"/>
          <w:color w:val="000000"/>
          <w:sz w:val="21"/>
          <w:szCs w:val="21"/>
        </w:rPr>
        <w:t xml:space="preserve">de Impacto </w:t>
      </w:r>
      <w:r w:rsidR="0067376F" w:rsidRPr="00787587">
        <w:rPr>
          <w:rFonts w:ascii="Arial" w:hAnsi="Arial" w:cs="Arial"/>
          <w:color w:val="000000"/>
          <w:sz w:val="21"/>
          <w:szCs w:val="21"/>
        </w:rPr>
        <w:t>Ambiental</w:t>
      </w:r>
      <w:r w:rsidR="0067376F" w:rsidRPr="00787587">
        <w:rPr>
          <w:rFonts w:ascii="Arial" w:hAnsi="Arial" w:cs="Arial"/>
          <w:sz w:val="21"/>
          <w:szCs w:val="21"/>
        </w:rPr>
        <w:t xml:space="preserve"> </w:t>
      </w:r>
      <w:r w:rsidR="006A6D3E" w:rsidRPr="00787587">
        <w:rPr>
          <w:rFonts w:ascii="Arial" w:hAnsi="Arial" w:cs="Arial"/>
          <w:sz w:val="21"/>
          <w:szCs w:val="21"/>
        </w:rPr>
        <w:t>ante la Autoridad Ambiental Competente</w:t>
      </w:r>
      <w:r w:rsidR="00B35CE8" w:rsidRPr="00787587">
        <w:rPr>
          <w:rFonts w:ascii="Arial" w:hAnsi="Arial" w:cs="Arial"/>
          <w:sz w:val="21"/>
          <w:szCs w:val="21"/>
        </w:rPr>
        <w:t>.</w:t>
      </w:r>
    </w:p>
    <w:p w14:paraId="5CAC292F" w14:textId="77777777" w:rsidR="00B35CE8" w:rsidRPr="00787587" w:rsidRDefault="00B35CE8" w:rsidP="0042084C">
      <w:pPr>
        <w:pStyle w:val="Sinespaciado"/>
        <w:ind w:left="709"/>
        <w:jc w:val="both"/>
        <w:rPr>
          <w:rFonts w:ascii="Arial" w:hAnsi="Arial" w:cs="Arial"/>
          <w:sz w:val="21"/>
          <w:szCs w:val="21"/>
        </w:rPr>
      </w:pPr>
    </w:p>
    <w:p w14:paraId="064F93E0" w14:textId="566ED56E" w:rsidR="0067376F" w:rsidRPr="00787587" w:rsidRDefault="00B35CE8" w:rsidP="0042084C">
      <w:pPr>
        <w:pStyle w:val="Sinespaciado"/>
        <w:ind w:left="709"/>
        <w:jc w:val="both"/>
        <w:rPr>
          <w:rFonts w:ascii="Arial" w:hAnsi="Arial" w:cs="Arial"/>
          <w:sz w:val="21"/>
          <w:szCs w:val="21"/>
        </w:rPr>
      </w:pPr>
      <w:r w:rsidRPr="00787587">
        <w:rPr>
          <w:rFonts w:ascii="Arial" w:hAnsi="Arial" w:cs="Arial"/>
          <w:sz w:val="21"/>
          <w:szCs w:val="21"/>
        </w:rPr>
        <w:t>La Modificación del Estudio de Impacto Ambiental</w:t>
      </w:r>
      <w:r w:rsidR="002120CD">
        <w:rPr>
          <w:rFonts w:ascii="Arial" w:hAnsi="Arial" w:cs="Arial"/>
          <w:sz w:val="21"/>
          <w:szCs w:val="21"/>
        </w:rPr>
        <w:t xml:space="preserve"> regulada en el presente artículo,</w:t>
      </w:r>
      <w:r w:rsidRPr="00787587">
        <w:rPr>
          <w:rFonts w:ascii="Arial" w:hAnsi="Arial" w:cs="Arial"/>
          <w:sz w:val="21"/>
          <w:szCs w:val="21"/>
        </w:rPr>
        <w:t xml:space="preserve"> debe cumplir con asegurar que el desarrollo de todas las actividades del Titular en el Lote y el contenido de los distintos Planes que integran la Estrategia de Manejo Ambiental sean conformes con lo dispuesto en la normatividad ambiental vigente. Asimismo, </w:t>
      </w:r>
      <w:r w:rsidR="00F76048" w:rsidRPr="00787587">
        <w:rPr>
          <w:rFonts w:ascii="Arial" w:hAnsi="Arial" w:cs="Arial"/>
          <w:sz w:val="21"/>
          <w:szCs w:val="21"/>
        </w:rPr>
        <w:t xml:space="preserve">dichos Planes </w:t>
      </w:r>
      <w:r w:rsidRPr="00787587">
        <w:rPr>
          <w:rFonts w:ascii="Arial" w:hAnsi="Arial" w:cs="Arial"/>
          <w:sz w:val="21"/>
          <w:szCs w:val="21"/>
        </w:rPr>
        <w:t>debe</w:t>
      </w:r>
      <w:r w:rsidR="00F76048" w:rsidRPr="00787587">
        <w:rPr>
          <w:rFonts w:ascii="Arial" w:hAnsi="Arial" w:cs="Arial"/>
          <w:sz w:val="21"/>
          <w:szCs w:val="21"/>
        </w:rPr>
        <w:t>n</w:t>
      </w:r>
      <w:r w:rsidRPr="00787587">
        <w:rPr>
          <w:rFonts w:ascii="Arial" w:hAnsi="Arial" w:cs="Arial"/>
          <w:sz w:val="21"/>
          <w:szCs w:val="21"/>
        </w:rPr>
        <w:t xml:space="preserve"> ser acorde</w:t>
      </w:r>
      <w:r w:rsidR="00F76048" w:rsidRPr="00787587">
        <w:rPr>
          <w:rFonts w:ascii="Arial" w:hAnsi="Arial" w:cs="Arial"/>
          <w:sz w:val="21"/>
          <w:szCs w:val="21"/>
        </w:rPr>
        <w:t>s</w:t>
      </w:r>
      <w:r w:rsidRPr="00787587">
        <w:rPr>
          <w:rFonts w:ascii="Arial" w:hAnsi="Arial" w:cs="Arial"/>
          <w:sz w:val="21"/>
          <w:szCs w:val="21"/>
        </w:rPr>
        <w:t xml:space="preserve"> con los impactos reales de las operaciones, para lo cual, se debe considerar los reportes de monitoreo u otra fuente de información, incluyendo los impactos potenciales en los referidos Planes.</w:t>
      </w:r>
    </w:p>
    <w:p w14:paraId="1BB88641" w14:textId="77777777" w:rsidR="00B35CE8" w:rsidRPr="00787587" w:rsidRDefault="00B35CE8" w:rsidP="00032665">
      <w:pPr>
        <w:pStyle w:val="Sinespaciado"/>
        <w:jc w:val="both"/>
        <w:rPr>
          <w:rFonts w:ascii="Arial" w:hAnsi="Arial" w:cs="Arial"/>
          <w:sz w:val="21"/>
          <w:szCs w:val="21"/>
        </w:rPr>
      </w:pPr>
    </w:p>
    <w:p w14:paraId="3CE82121" w14:textId="2551C29D" w:rsidR="00C2235C" w:rsidRPr="00787587" w:rsidRDefault="00E30625" w:rsidP="0042084C">
      <w:pPr>
        <w:pStyle w:val="Sinespaciado"/>
        <w:ind w:left="709"/>
        <w:jc w:val="both"/>
        <w:rPr>
          <w:rFonts w:ascii="Arial" w:hAnsi="Arial" w:cs="Arial"/>
          <w:color w:val="000000"/>
          <w:sz w:val="21"/>
          <w:szCs w:val="21"/>
        </w:rPr>
      </w:pPr>
      <w:r w:rsidRPr="00787587">
        <w:rPr>
          <w:rFonts w:ascii="Arial" w:hAnsi="Arial" w:cs="Arial"/>
          <w:sz w:val="21"/>
          <w:szCs w:val="21"/>
        </w:rPr>
        <w:t>E</w:t>
      </w:r>
      <w:r w:rsidR="00A40922" w:rsidRPr="00787587">
        <w:rPr>
          <w:rFonts w:ascii="Arial" w:hAnsi="Arial" w:cs="Arial"/>
          <w:sz w:val="21"/>
          <w:szCs w:val="21"/>
        </w:rPr>
        <w:t>l</w:t>
      </w:r>
      <w:r w:rsidR="0021169B" w:rsidRPr="00787587">
        <w:rPr>
          <w:rFonts w:ascii="Arial" w:hAnsi="Arial" w:cs="Arial"/>
          <w:sz w:val="21"/>
          <w:szCs w:val="21"/>
        </w:rPr>
        <w:t>/La</w:t>
      </w:r>
      <w:r w:rsidR="00A40922" w:rsidRPr="00787587">
        <w:rPr>
          <w:rFonts w:ascii="Arial" w:hAnsi="Arial" w:cs="Arial"/>
          <w:sz w:val="21"/>
          <w:szCs w:val="21"/>
        </w:rPr>
        <w:t xml:space="preserve"> Titular </w:t>
      </w:r>
      <w:r w:rsidRPr="00787587">
        <w:rPr>
          <w:rFonts w:ascii="Arial" w:hAnsi="Arial" w:cs="Arial"/>
          <w:sz w:val="21"/>
          <w:szCs w:val="21"/>
        </w:rPr>
        <w:t>tiene</w:t>
      </w:r>
      <w:r w:rsidR="00A40922" w:rsidRPr="00787587">
        <w:rPr>
          <w:rFonts w:ascii="Arial" w:hAnsi="Arial" w:cs="Arial"/>
          <w:sz w:val="21"/>
          <w:szCs w:val="21"/>
        </w:rPr>
        <w:t xml:space="preserve"> un plazo máximo de </w:t>
      </w:r>
      <w:r w:rsidR="003523BA" w:rsidRPr="00787587">
        <w:rPr>
          <w:rFonts w:ascii="Arial" w:hAnsi="Arial" w:cs="Arial"/>
          <w:sz w:val="21"/>
          <w:szCs w:val="21"/>
        </w:rPr>
        <w:t xml:space="preserve">veinticuatro </w:t>
      </w:r>
      <w:r w:rsidR="00A40922" w:rsidRPr="00787587">
        <w:rPr>
          <w:rFonts w:ascii="Arial" w:hAnsi="Arial" w:cs="Arial"/>
          <w:sz w:val="21"/>
          <w:szCs w:val="21"/>
        </w:rPr>
        <w:t>(</w:t>
      </w:r>
      <w:r w:rsidR="003523BA" w:rsidRPr="00787587">
        <w:rPr>
          <w:rFonts w:ascii="Arial" w:hAnsi="Arial" w:cs="Arial"/>
          <w:sz w:val="21"/>
          <w:szCs w:val="21"/>
        </w:rPr>
        <w:t>24</w:t>
      </w:r>
      <w:r w:rsidR="00A40922" w:rsidRPr="00787587">
        <w:rPr>
          <w:rFonts w:ascii="Arial" w:hAnsi="Arial" w:cs="Arial"/>
          <w:sz w:val="21"/>
          <w:szCs w:val="21"/>
        </w:rPr>
        <w:t xml:space="preserve">) meses contados desde la suscripción del Contrato de Licencia o de Servicios, para la presentación de la solicitud de la </w:t>
      </w:r>
      <w:r w:rsidR="00A40922" w:rsidRPr="00787587">
        <w:rPr>
          <w:rFonts w:ascii="Arial" w:hAnsi="Arial" w:cs="Arial"/>
          <w:color w:val="000000"/>
          <w:sz w:val="21"/>
          <w:szCs w:val="21"/>
        </w:rPr>
        <w:t xml:space="preserve">Modificación del Estudio </w:t>
      </w:r>
      <w:r w:rsidR="00154CD0" w:rsidRPr="00787587">
        <w:rPr>
          <w:rFonts w:ascii="Arial" w:hAnsi="Arial" w:cs="Arial"/>
          <w:color w:val="000000"/>
          <w:sz w:val="21"/>
          <w:szCs w:val="21"/>
        </w:rPr>
        <w:t xml:space="preserve">de Impacto </w:t>
      </w:r>
      <w:r w:rsidR="00A40922" w:rsidRPr="00787587">
        <w:rPr>
          <w:rFonts w:ascii="Arial" w:hAnsi="Arial" w:cs="Arial"/>
          <w:color w:val="000000"/>
          <w:sz w:val="21"/>
          <w:szCs w:val="21"/>
        </w:rPr>
        <w:t>Ambiental</w:t>
      </w:r>
      <w:r w:rsidR="00FC7756" w:rsidRPr="00787587">
        <w:rPr>
          <w:rFonts w:ascii="Arial" w:hAnsi="Arial" w:cs="Arial"/>
          <w:color w:val="000000"/>
          <w:sz w:val="21"/>
          <w:szCs w:val="21"/>
        </w:rPr>
        <w:t xml:space="preserve"> </w:t>
      </w:r>
      <w:r w:rsidR="002120CD">
        <w:rPr>
          <w:rFonts w:ascii="Arial" w:hAnsi="Arial" w:cs="Arial"/>
          <w:color w:val="000000"/>
          <w:sz w:val="21"/>
          <w:szCs w:val="21"/>
        </w:rPr>
        <w:t xml:space="preserve">regulada en el presente artículo, </w:t>
      </w:r>
      <w:r w:rsidR="00FC7756" w:rsidRPr="00787587">
        <w:rPr>
          <w:rFonts w:ascii="Arial" w:hAnsi="Arial" w:cs="Arial"/>
          <w:color w:val="000000"/>
          <w:sz w:val="21"/>
          <w:szCs w:val="21"/>
        </w:rPr>
        <w:t>ante la autoridad que tiene la función de evaluar el Estudio Ambiental de mayor categoría con la que cuente el Lote.</w:t>
      </w:r>
    </w:p>
    <w:p w14:paraId="643697C6" w14:textId="77777777" w:rsidR="00C2235C" w:rsidRPr="00787587" w:rsidRDefault="00C2235C" w:rsidP="0042084C">
      <w:pPr>
        <w:pStyle w:val="Sinespaciado"/>
        <w:ind w:left="709"/>
        <w:jc w:val="both"/>
        <w:rPr>
          <w:rFonts w:ascii="Arial" w:hAnsi="Arial" w:cs="Arial"/>
          <w:color w:val="000000"/>
          <w:sz w:val="21"/>
          <w:szCs w:val="21"/>
        </w:rPr>
      </w:pPr>
    </w:p>
    <w:p w14:paraId="76D326DA" w14:textId="77777777" w:rsidR="00C2235C" w:rsidRPr="00787587" w:rsidRDefault="00C2235C" w:rsidP="0042084C">
      <w:pPr>
        <w:pStyle w:val="Sinespaciado"/>
        <w:ind w:left="709"/>
        <w:jc w:val="both"/>
        <w:rPr>
          <w:rFonts w:ascii="Arial" w:hAnsi="Arial" w:cs="Arial"/>
          <w:color w:val="000000"/>
          <w:sz w:val="21"/>
          <w:szCs w:val="21"/>
        </w:rPr>
      </w:pPr>
    </w:p>
    <w:p w14:paraId="3B12715F" w14:textId="45DAB298" w:rsidR="005176FE" w:rsidRPr="00787587" w:rsidRDefault="002120CD" w:rsidP="005176FE">
      <w:pPr>
        <w:pStyle w:val="Sinespaciado"/>
        <w:ind w:left="709"/>
        <w:jc w:val="both"/>
        <w:rPr>
          <w:rFonts w:ascii="Arial" w:hAnsi="Arial" w:cs="Arial"/>
          <w:sz w:val="21"/>
          <w:szCs w:val="21"/>
        </w:rPr>
      </w:pPr>
      <w:r>
        <w:rPr>
          <w:rFonts w:ascii="Arial" w:hAnsi="Arial" w:cs="Arial"/>
          <w:sz w:val="21"/>
          <w:szCs w:val="21"/>
        </w:rPr>
        <w:t xml:space="preserve">En dicha oportunidad, el/la </w:t>
      </w:r>
      <w:r w:rsidR="0021169B" w:rsidRPr="00787587">
        <w:rPr>
          <w:rFonts w:ascii="Arial" w:hAnsi="Arial" w:cs="Arial"/>
          <w:sz w:val="21"/>
          <w:szCs w:val="21"/>
        </w:rPr>
        <w:t xml:space="preserve"> Titular de las Actividades de Exploración y Explotación</w:t>
      </w:r>
      <w:r w:rsidR="005176FE" w:rsidRPr="00787587">
        <w:rPr>
          <w:rFonts w:ascii="Arial" w:hAnsi="Arial" w:cs="Arial"/>
          <w:sz w:val="21"/>
          <w:szCs w:val="21"/>
        </w:rPr>
        <w:t xml:space="preserve"> de Hidrocarburos puede realizar la modificación de componentes principales o auxiliares, ampliaciones o diversificaciones del proyecto original.</w:t>
      </w:r>
    </w:p>
    <w:p w14:paraId="3E40127F" w14:textId="77777777" w:rsidR="005176FE" w:rsidRPr="00787587" w:rsidRDefault="005176FE" w:rsidP="0042084C">
      <w:pPr>
        <w:pStyle w:val="Sinespaciado"/>
        <w:ind w:left="709"/>
        <w:jc w:val="both"/>
        <w:rPr>
          <w:rFonts w:ascii="Arial" w:hAnsi="Arial" w:cs="Arial"/>
          <w:color w:val="000000"/>
          <w:sz w:val="21"/>
          <w:szCs w:val="21"/>
        </w:rPr>
      </w:pPr>
    </w:p>
    <w:p w14:paraId="236341DB" w14:textId="720247AF" w:rsidR="005C2962" w:rsidRPr="00787587" w:rsidRDefault="005C2962" w:rsidP="005C2962">
      <w:pPr>
        <w:pStyle w:val="Sinespaciado"/>
        <w:ind w:left="709"/>
        <w:jc w:val="both"/>
        <w:rPr>
          <w:rFonts w:ascii="Arial" w:hAnsi="Arial" w:cs="Arial"/>
          <w:sz w:val="21"/>
          <w:szCs w:val="21"/>
        </w:rPr>
      </w:pPr>
      <w:r w:rsidRPr="00787587">
        <w:rPr>
          <w:rFonts w:ascii="Arial" w:hAnsi="Arial" w:cs="Arial"/>
          <w:sz w:val="21"/>
          <w:szCs w:val="21"/>
        </w:rPr>
        <w:t>Si dentro del plazo establecido en el párrafo precedente, el</w:t>
      </w:r>
      <w:r w:rsidR="0021169B" w:rsidRPr="00787587">
        <w:rPr>
          <w:rFonts w:ascii="Arial" w:hAnsi="Arial" w:cs="Arial"/>
          <w:sz w:val="21"/>
          <w:szCs w:val="21"/>
        </w:rPr>
        <w:t>/la</w:t>
      </w:r>
      <w:r w:rsidRPr="00787587">
        <w:rPr>
          <w:rFonts w:ascii="Arial" w:hAnsi="Arial" w:cs="Arial"/>
          <w:sz w:val="21"/>
          <w:szCs w:val="21"/>
        </w:rPr>
        <w:t xml:space="preserve"> Titular requiere realizar modificaciones o ampliaciones a las actividades de hidrocarburos, debe tramitar el procedimiento correspondiente ante la </w:t>
      </w:r>
      <w:r w:rsidR="0021169B" w:rsidRPr="00787587">
        <w:rPr>
          <w:rFonts w:ascii="Arial" w:hAnsi="Arial" w:cs="Arial"/>
          <w:sz w:val="21"/>
          <w:szCs w:val="21"/>
        </w:rPr>
        <w:t>A</w:t>
      </w:r>
      <w:r w:rsidRPr="00787587">
        <w:rPr>
          <w:rFonts w:ascii="Arial" w:hAnsi="Arial" w:cs="Arial"/>
          <w:sz w:val="21"/>
          <w:szCs w:val="21"/>
        </w:rPr>
        <w:t xml:space="preserve">utoridad </w:t>
      </w:r>
      <w:r w:rsidR="0021169B" w:rsidRPr="00787587">
        <w:rPr>
          <w:rFonts w:ascii="Arial" w:hAnsi="Arial" w:cs="Arial"/>
          <w:sz w:val="21"/>
          <w:szCs w:val="21"/>
        </w:rPr>
        <w:t>A</w:t>
      </w:r>
      <w:r w:rsidRPr="00787587">
        <w:rPr>
          <w:rFonts w:ascii="Arial" w:hAnsi="Arial" w:cs="Arial"/>
          <w:sz w:val="21"/>
          <w:szCs w:val="21"/>
        </w:rPr>
        <w:t xml:space="preserve">mbiental </w:t>
      </w:r>
      <w:r w:rsidR="0021169B" w:rsidRPr="00787587">
        <w:rPr>
          <w:rFonts w:ascii="Arial" w:hAnsi="Arial" w:cs="Arial"/>
          <w:sz w:val="21"/>
          <w:szCs w:val="21"/>
        </w:rPr>
        <w:t>C</w:t>
      </w:r>
      <w:r w:rsidRPr="00787587">
        <w:rPr>
          <w:rFonts w:ascii="Arial" w:hAnsi="Arial" w:cs="Arial"/>
          <w:sz w:val="21"/>
          <w:szCs w:val="21"/>
        </w:rPr>
        <w:t>ompetente respectiva, las que</w:t>
      </w:r>
      <w:r w:rsidR="002120CD">
        <w:rPr>
          <w:rFonts w:ascii="Arial" w:hAnsi="Arial" w:cs="Arial"/>
          <w:sz w:val="21"/>
          <w:szCs w:val="21"/>
        </w:rPr>
        <w:t>,</w:t>
      </w:r>
      <w:r w:rsidRPr="00787587">
        <w:rPr>
          <w:rFonts w:ascii="Arial" w:hAnsi="Arial" w:cs="Arial"/>
          <w:sz w:val="21"/>
          <w:szCs w:val="21"/>
        </w:rPr>
        <w:t xml:space="preserve"> de ser aprobadas</w:t>
      </w:r>
      <w:r w:rsidR="002120CD">
        <w:rPr>
          <w:rFonts w:ascii="Arial" w:hAnsi="Arial" w:cs="Arial"/>
          <w:sz w:val="21"/>
          <w:szCs w:val="21"/>
        </w:rPr>
        <w:t>,</w:t>
      </w:r>
      <w:r w:rsidRPr="00787587">
        <w:rPr>
          <w:rFonts w:ascii="Arial" w:hAnsi="Arial" w:cs="Arial"/>
          <w:sz w:val="21"/>
          <w:szCs w:val="21"/>
        </w:rPr>
        <w:t xml:space="preserve"> deben ser incluidas dentro de la Modificación del Estudio de Impacto Ambiental regulada en el presente artículo.</w:t>
      </w:r>
    </w:p>
    <w:p w14:paraId="26E0AAE2" w14:textId="14085E12" w:rsidR="00D86834" w:rsidRPr="00787587" w:rsidRDefault="00D86834" w:rsidP="005C2962">
      <w:pPr>
        <w:pStyle w:val="Sinespaciado"/>
        <w:ind w:left="709"/>
        <w:jc w:val="both"/>
        <w:rPr>
          <w:rFonts w:ascii="Arial" w:hAnsi="Arial" w:cs="Arial"/>
          <w:sz w:val="21"/>
          <w:szCs w:val="21"/>
        </w:rPr>
      </w:pPr>
    </w:p>
    <w:p w14:paraId="200D9456" w14:textId="73DBF1A5" w:rsidR="00D86834" w:rsidRPr="00787587" w:rsidRDefault="002120CD" w:rsidP="005C2962">
      <w:pPr>
        <w:pStyle w:val="Sinespaciado"/>
        <w:ind w:left="709"/>
        <w:jc w:val="both"/>
        <w:rPr>
          <w:rFonts w:ascii="Arial" w:hAnsi="Arial" w:cs="Arial"/>
          <w:sz w:val="21"/>
          <w:szCs w:val="21"/>
        </w:rPr>
      </w:pPr>
      <w:r>
        <w:rPr>
          <w:rFonts w:ascii="Arial" w:hAnsi="Arial" w:cs="Arial"/>
          <w:sz w:val="21"/>
          <w:szCs w:val="21"/>
        </w:rPr>
        <w:t>Esta</w:t>
      </w:r>
      <w:r w:rsidR="00D86834" w:rsidRPr="00787587">
        <w:rPr>
          <w:rFonts w:ascii="Arial" w:hAnsi="Arial" w:cs="Arial"/>
          <w:sz w:val="21"/>
          <w:szCs w:val="21"/>
        </w:rPr>
        <w:t xml:space="preserve"> Modificación no </w:t>
      </w:r>
      <w:bookmarkStart w:id="1" w:name="_Hlk15479848"/>
      <w:r w:rsidR="00D86834" w:rsidRPr="00787587">
        <w:rPr>
          <w:rFonts w:ascii="Arial" w:hAnsi="Arial" w:cs="Arial"/>
          <w:sz w:val="21"/>
          <w:szCs w:val="21"/>
        </w:rPr>
        <w:t>procede en ningún caso en el que se pretenda obtener la regularización o adecuación de actividades en curso que no contaron con Instrumento de Gestión Ambiental previamente aprobado o la incorporación de componentes construidos sin haber efectuado el procedimiento de modificación correspondiente</w:t>
      </w:r>
      <w:bookmarkEnd w:id="1"/>
      <w:r w:rsidR="00D86834" w:rsidRPr="00787587">
        <w:rPr>
          <w:rFonts w:ascii="Arial" w:hAnsi="Arial" w:cs="Arial"/>
          <w:sz w:val="21"/>
          <w:szCs w:val="21"/>
        </w:rPr>
        <w:t>.</w:t>
      </w:r>
    </w:p>
    <w:p w14:paraId="6029A165" w14:textId="77777777" w:rsidR="00154CD0" w:rsidRPr="00787587" w:rsidRDefault="00154CD0" w:rsidP="0042084C">
      <w:pPr>
        <w:pStyle w:val="Sinespaciado"/>
        <w:ind w:left="709"/>
        <w:jc w:val="both"/>
        <w:rPr>
          <w:rFonts w:ascii="Arial" w:hAnsi="Arial" w:cs="Arial"/>
          <w:color w:val="000000"/>
          <w:sz w:val="21"/>
          <w:szCs w:val="21"/>
        </w:rPr>
      </w:pPr>
    </w:p>
    <w:p w14:paraId="35CAF586" w14:textId="35C72D3B" w:rsidR="00A90C01" w:rsidRPr="00787587" w:rsidRDefault="00A90C01" w:rsidP="00A90C01">
      <w:pPr>
        <w:pStyle w:val="Sinespaciado"/>
        <w:ind w:left="709"/>
        <w:jc w:val="both"/>
        <w:rPr>
          <w:rFonts w:ascii="Arial" w:hAnsi="Arial" w:cs="Arial"/>
          <w:color w:val="000000"/>
          <w:sz w:val="21"/>
          <w:szCs w:val="21"/>
        </w:rPr>
      </w:pPr>
      <w:r w:rsidRPr="00787587">
        <w:rPr>
          <w:rFonts w:ascii="Arial" w:hAnsi="Arial" w:cs="Arial"/>
          <w:color w:val="000000"/>
          <w:sz w:val="21"/>
          <w:szCs w:val="21"/>
        </w:rPr>
        <w:t>El</w:t>
      </w:r>
      <w:r w:rsidR="0021169B" w:rsidRPr="00787587">
        <w:rPr>
          <w:rFonts w:ascii="Arial" w:hAnsi="Arial" w:cs="Arial"/>
          <w:color w:val="000000"/>
          <w:sz w:val="21"/>
          <w:szCs w:val="21"/>
        </w:rPr>
        <w:t>/La</w:t>
      </w:r>
      <w:r w:rsidRPr="00787587">
        <w:rPr>
          <w:rFonts w:ascii="Arial" w:hAnsi="Arial" w:cs="Arial"/>
          <w:color w:val="000000"/>
          <w:sz w:val="21"/>
          <w:szCs w:val="21"/>
        </w:rPr>
        <w:t xml:space="preserve"> Titular que presenta </w:t>
      </w:r>
      <w:r w:rsidR="002120CD">
        <w:rPr>
          <w:rFonts w:ascii="Arial" w:hAnsi="Arial" w:cs="Arial"/>
          <w:color w:val="000000"/>
          <w:sz w:val="21"/>
          <w:szCs w:val="21"/>
        </w:rPr>
        <w:t>dicha</w:t>
      </w:r>
      <w:r w:rsidRPr="00787587">
        <w:rPr>
          <w:rFonts w:ascii="Arial" w:hAnsi="Arial" w:cs="Arial"/>
          <w:color w:val="000000"/>
          <w:sz w:val="21"/>
          <w:szCs w:val="21"/>
        </w:rPr>
        <w:t xml:space="preserve"> Modificación y no obtiene su aprobación, debe presentar nuevamente su solicitud de modificación en un plazo no mayor de cuarenta (40) días hábiles de notificada la resolución </w:t>
      </w:r>
      <w:r w:rsidR="00AC6755" w:rsidRPr="00787587">
        <w:rPr>
          <w:rFonts w:ascii="Arial" w:hAnsi="Arial" w:cs="Arial"/>
          <w:color w:val="000000"/>
          <w:sz w:val="21"/>
          <w:szCs w:val="21"/>
        </w:rPr>
        <w:t>correspondiente</w:t>
      </w:r>
      <w:r w:rsidRPr="00787587">
        <w:rPr>
          <w:rFonts w:ascii="Arial" w:hAnsi="Arial" w:cs="Arial"/>
          <w:color w:val="000000"/>
          <w:sz w:val="21"/>
          <w:szCs w:val="21"/>
        </w:rPr>
        <w:t>. A solicitud fundamentada d</w:t>
      </w:r>
      <w:r w:rsidR="0021169B" w:rsidRPr="00787587">
        <w:rPr>
          <w:rFonts w:ascii="Arial" w:hAnsi="Arial" w:cs="Arial"/>
          <w:color w:val="000000"/>
          <w:sz w:val="21"/>
          <w:szCs w:val="21"/>
        </w:rPr>
        <w:t xml:space="preserve">e </w:t>
      </w:r>
      <w:r w:rsidRPr="00787587">
        <w:rPr>
          <w:rFonts w:ascii="Arial" w:hAnsi="Arial" w:cs="Arial"/>
          <w:color w:val="000000"/>
          <w:sz w:val="21"/>
          <w:szCs w:val="21"/>
        </w:rPr>
        <w:t>el</w:t>
      </w:r>
      <w:r w:rsidR="0021169B" w:rsidRPr="00787587">
        <w:rPr>
          <w:rFonts w:ascii="Arial" w:hAnsi="Arial" w:cs="Arial"/>
          <w:color w:val="000000"/>
          <w:sz w:val="21"/>
          <w:szCs w:val="21"/>
        </w:rPr>
        <w:t>/la</w:t>
      </w:r>
      <w:r w:rsidRPr="00787587">
        <w:rPr>
          <w:rFonts w:ascii="Arial" w:hAnsi="Arial" w:cs="Arial"/>
          <w:color w:val="000000"/>
          <w:sz w:val="21"/>
          <w:szCs w:val="21"/>
        </w:rPr>
        <w:t xml:space="preserve"> Titular, adjuntando los medios probatorios correspondientes, se prorroga el plazo antes indicado</w:t>
      </w:r>
      <w:r w:rsidR="00BD3665" w:rsidRPr="00787587">
        <w:rPr>
          <w:rFonts w:ascii="Arial" w:hAnsi="Arial" w:cs="Arial"/>
          <w:color w:val="000000"/>
          <w:sz w:val="21"/>
          <w:szCs w:val="21"/>
        </w:rPr>
        <w:t xml:space="preserve">, </w:t>
      </w:r>
      <w:r w:rsidRPr="00787587">
        <w:rPr>
          <w:rFonts w:ascii="Arial" w:hAnsi="Arial" w:cs="Arial"/>
          <w:color w:val="000000"/>
          <w:sz w:val="21"/>
          <w:szCs w:val="21"/>
        </w:rPr>
        <w:t xml:space="preserve">por única vez, </w:t>
      </w:r>
      <w:r w:rsidR="000141CD" w:rsidRPr="00787587">
        <w:rPr>
          <w:rFonts w:ascii="Arial" w:hAnsi="Arial" w:cs="Arial"/>
          <w:color w:val="000000"/>
          <w:sz w:val="21"/>
          <w:szCs w:val="21"/>
        </w:rPr>
        <w:t xml:space="preserve">hasta el plazo máximo de </w:t>
      </w:r>
      <w:r w:rsidRPr="00787587">
        <w:rPr>
          <w:rFonts w:ascii="Arial" w:hAnsi="Arial" w:cs="Arial"/>
          <w:color w:val="000000"/>
          <w:sz w:val="21"/>
          <w:szCs w:val="21"/>
        </w:rPr>
        <w:t xml:space="preserve">un año. </w:t>
      </w:r>
    </w:p>
    <w:p w14:paraId="3F316E77" w14:textId="77777777" w:rsidR="00A90C01" w:rsidRPr="00787587" w:rsidRDefault="00A90C01" w:rsidP="0042084C">
      <w:pPr>
        <w:pStyle w:val="Sinespaciado"/>
        <w:ind w:left="709"/>
        <w:jc w:val="both"/>
        <w:rPr>
          <w:rFonts w:ascii="Arial" w:hAnsi="Arial" w:cs="Arial"/>
          <w:color w:val="000000"/>
          <w:sz w:val="21"/>
          <w:szCs w:val="21"/>
        </w:rPr>
      </w:pPr>
    </w:p>
    <w:p w14:paraId="382199E6" w14:textId="4A2FC899" w:rsidR="00154CD0" w:rsidRPr="00787587" w:rsidRDefault="005C2962" w:rsidP="0042084C">
      <w:pPr>
        <w:pStyle w:val="Sinespaciado"/>
        <w:ind w:left="709"/>
        <w:jc w:val="both"/>
        <w:rPr>
          <w:rFonts w:ascii="Arial" w:hAnsi="Arial" w:cs="Arial"/>
          <w:sz w:val="21"/>
          <w:szCs w:val="21"/>
        </w:rPr>
      </w:pPr>
      <w:r w:rsidRPr="00787587">
        <w:rPr>
          <w:rFonts w:ascii="Arial" w:hAnsi="Arial" w:cs="Arial"/>
          <w:sz w:val="21"/>
          <w:szCs w:val="21"/>
        </w:rPr>
        <w:t>Para la</w:t>
      </w:r>
      <w:r w:rsidR="00154CD0" w:rsidRPr="00787587">
        <w:rPr>
          <w:rFonts w:ascii="Arial" w:hAnsi="Arial" w:cs="Arial"/>
          <w:sz w:val="21"/>
          <w:szCs w:val="21"/>
        </w:rPr>
        <w:t xml:space="preserve"> Modificación del Estudio de Impacto Ambiental</w:t>
      </w:r>
      <w:r w:rsidR="002120CD">
        <w:rPr>
          <w:rFonts w:ascii="Arial" w:hAnsi="Arial" w:cs="Arial"/>
          <w:sz w:val="21"/>
          <w:szCs w:val="21"/>
        </w:rPr>
        <w:t xml:space="preserve"> regulada en el presente artículo,</w:t>
      </w:r>
      <w:r w:rsidR="00154CD0" w:rsidRPr="00787587">
        <w:rPr>
          <w:rFonts w:ascii="Arial" w:hAnsi="Arial" w:cs="Arial"/>
          <w:sz w:val="21"/>
          <w:szCs w:val="21"/>
        </w:rPr>
        <w:t xml:space="preserve"> se aplican las mismas reglas procedimentales de las modificaciones</w:t>
      </w:r>
      <w:r w:rsidRPr="00787587">
        <w:rPr>
          <w:rFonts w:ascii="Arial" w:hAnsi="Arial" w:cs="Arial"/>
          <w:sz w:val="21"/>
          <w:szCs w:val="21"/>
        </w:rPr>
        <w:t xml:space="preserve"> de los estudios ambientales</w:t>
      </w:r>
      <w:r w:rsidR="00B410EE" w:rsidRPr="00787587">
        <w:rPr>
          <w:rFonts w:ascii="Arial" w:hAnsi="Arial" w:cs="Arial"/>
          <w:sz w:val="21"/>
          <w:szCs w:val="21"/>
        </w:rPr>
        <w:t xml:space="preserve"> </w:t>
      </w:r>
      <w:r w:rsidRPr="00787587">
        <w:rPr>
          <w:rFonts w:ascii="Arial" w:hAnsi="Arial" w:cs="Arial"/>
          <w:sz w:val="21"/>
          <w:szCs w:val="21"/>
        </w:rPr>
        <w:t xml:space="preserve">y </w:t>
      </w:r>
      <w:r w:rsidR="001F4DDF" w:rsidRPr="00787587">
        <w:rPr>
          <w:rFonts w:ascii="Arial" w:hAnsi="Arial" w:cs="Arial"/>
          <w:sz w:val="21"/>
          <w:szCs w:val="21"/>
        </w:rPr>
        <w:t xml:space="preserve">las de participación ciudadana. </w:t>
      </w:r>
    </w:p>
    <w:p w14:paraId="31A632ED" w14:textId="77777777" w:rsidR="0067376F" w:rsidRPr="00787587" w:rsidRDefault="0067376F" w:rsidP="0042084C">
      <w:pPr>
        <w:pStyle w:val="Sinespaciado"/>
        <w:ind w:left="709"/>
        <w:jc w:val="both"/>
        <w:rPr>
          <w:rFonts w:ascii="Arial" w:hAnsi="Arial" w:cs="Arial"/>
          <w:sz w:val="21"/>
          <w:szCs w:val="21"/>
        </w:rPr>
      </w:pPr>
    </w:p>
    <w:p w14:paraId="08BF4A5A" w14:textId="351F034E" w:rsidR="005C2962" w:rsidRPr="00787587" w:rsidRDefault="002120CD" w:rsidP="00DD44DA">
      <w:pPr>
        <w:pStyle w:val="Sinespaciado"/>
        <w:ind w:left="709"/>
        <w:jc w:val="both"/>
        <w:rPr>
          <w:rFonts w:ascii="Arial" w:hAnsi="Arial" w:cs="Arial"/>
          <w:color w:val="000000"/>
          <w:sz w:val="21"/>
          <w:szCs w:val="21"/>
        </w:rPr>
      </w:pPr>
      <w:r>
        <w:rPr>
          <w:rFonts w:ascii="Arial" w:hAnsi="Arial" w:cs="Arial"/>
          <w:color w:val="000000"/>
          <w:sz w:val="21"/>
          <w:szCs w:val="21"/>
        </w:rPr>
        <w:t>Esta</w:t>
      </w:r>
      <w:r w:rsidR="005C2962" w:rsidRPr="00787587">
        <w:rPr>
          <w:rFonts w:ascii="Arial" w:hAnsi="Arial" w:cs="Arial"/>
          <w:color w:val="000000"/>
          <w:sz w:val="21"/>
          <w:szCs w:val="21"/>
        </w:rPr>
        <w:t xml:space="preserve"> Modificación del Estudio de Impacto Ambiental debe contar con una Matriz de Obligaciones Ambientales derivadas de los estudios ambientales, instrumentos de gestión ambiental complementarios al SEIA, sus actualizaciones y/o modificatorias. La referida matriz sistematiza el conjunto de obligaciones ambientales sobre los componentes, actividades y fases de las actividades en el Lote.</w:t>
      </w:r>
    </w:p>
    <w:p w14:paraId="00881332" w14:textId="35948866" w:rsidR="0090311E" w:rsidRPr="00787587" w:rsidRDefault="0090311E" w:rsidP="00DD44DA">
      <w:pPr>
        <w:pStyle w:val="Sinespaciado"/>
        <w:ind w:left="709"/>
        <w:jc w:val="both"/>
        <w:rPr>
          <w:rFonts w:ascii="Arial" w:hAnsi="Arial" w:cs="Arial"/>
          <w:color w:val="000000"/>
          <w:sz w:val="21"/>
          <w:szCs w:val="21"/>
        </w:rPr>
      </w:pPr>
    </w:p>
    <w:p w14:paraId="0F8465AA" w14:textId="74323547" w:rsidR="005C2962" w:rsidRPr="00787587" w:rsidRDefault="005C2962" w:rsidP="005C2962">
      <w:pPr>
        <w:pStyle w:val="Sinespaciado"/>
        <w:ind w:left="709"/>
        <w:jc w:val="both"/>
        <w:rPr>
          <w:rFonts w:ascii="Arial" w:hAnsi="Arial" w:cs="Arial"/>
          <w:color w:val="000000"/>
          <w:sz w:val="21"/>
          <w:szCs w:val="21"/>
        </w:rPr>
      </w:pPr>
      <w:bookmarkStart w:id="2" w:name="_Hlk15479788"/>
      <w:r w:rsidRPr="00787587">
        <w:rPr>
          <w:rFonts w:ascii="Arial" w:hAnsi="Arial" w:cs="Arial"/>
          <w:bCs/>
          <w:color w:val="000000"/>
          <w:sz w:val="21"/>
          <w:szCs w:val="21"/>
        </w:rPr>
        <w:lastRenderedPageBreak/>
        <w:t>Cualquier modificación o ampliación posterior a la actividad de Hidrocarburos se realiza sobre la aprobación de la Modificación del Estudio de Impacto Ambiental</w:t>
      </w:r>
      <w:r w:rsidRPr="00787587">
        <w:rPr>
          <w:rFonts w:ascii="Arial" w:hAnsi="Arial" w:cs="Arial"/>
          <w:color w:val="000000"/>
          <w:sz w:val="21"/>
          <w:szCs w:val="21"/>
        </w:rPr>
        <w:t xml:space="preserve"> ante la Autoridad Ambiental Competente</w:t>
      </w:r>
      <w:r w:rsidR="002120CD">
        <w:rPr>
          <w:rFonts w:ascii="Arial" w:hAnsi="Arial" w:cs="Arial"/>
          <w:color w:val="000000"/>
          <w:sz w:val="21"/>
          <w:szCs w:val="21"/>
        </w:rPr>
        <w:t xml:space="preserve"> regulada en el presente artículo</w:t>
      </w:r>
      <w:r w:rsidRPr="00787587">
        <w:rPr>
          <w:rFonts w:ascii="Arial" w:hAnsi="Arial" w:cs="Arial"/>
          <w:color w:val="000000"/>
          <w:sz w:val="21"/>
          <w:szCs w:val="21"/>
        </w:rPr>
        <w:t xml:space="preserve">. Una vez aprobada la Modificación del Estudio de Impacto Ambiental, </w:t>
      </w:r>
      <w:r w:rsidR="00E31F50" w:rsidRPr="00787587">
        <w:rPr>
          <w:rFonts w:ascii="Arial" w:hAnsi="Arial" w:cs="Arial"/>
          <w:color w:val="000000"/>
          <w:sz w:val="21"/>
          <w:szCs w:val="21"/>
        </w:rPr>
        <w:t>é</w:t>
      </w:r>
      <w:r w:rsidRPr="00787587">
        <w:rPr>
          <w:rFonts w:ascii="Arial" w:hAnsi="Arial" w:cs="Arial"/>
          <w:color w:val="000000"/>
          <w:sz w:val="21"/>
          <w:szCs w:val="21"/>
        </w:rPr>
        <w:t>sta y sus modificaciones son en adelante objeto de fiscalización ambiental para el Lote respectivo por parte de la Autoridad en materia de Fiscalización Ambiental.</w:t>
      </w:r>
    </w:p>
    <w:bookmarkEnd w:id="2"/>
    <w:p w14:paraId="6D36BEC5" w14:textId="4CBEB0EC" w:rsidR="00405BE1" w:rsidRPr="00787587" w:rsidRDefault="00405BE1" w:rsidP="00DD44DA">
      <w:pPr>
        <w:pStyle w:val="Sinespaciado"/>
        <w:ind w:left="709"/>
        <w:jc w:val="both"/>
        <w:rPr>
          <w:rFonts w:ascii="Arial" w:hAnsi="Arial" w:cs="Arial"/>
          <w:color w:val="000000"/>
          <w:sz w:val="21"/>
          <w:szCs w:val="21"/>
        </w:rPr>
      </w:pPr>
    </w:p>
    <w:p w14:paraId="4A963788" w14:textId="26F55350" w:rsidR="00830A0F" w:rsidRPr="00787587" w:rsidRDefault="008A3151" w:rsidP="00DD44DA">
      <w:pPr>
        <w:pStyle w:val="Sinespaciado"/>
        <w:ind w:left="709"/>
        <w:jc w:val="both"/>
        <w:rPr>
          <w:rFonts w:ascii="Arial" w:hAnsi="Arial" w:cs="Arial"/>
          <w:color w:val="000000"/>
          <w:sz w:val="21"/>
          <w:szCs w:val="21"/>
        </w:rPr>
      </w:pPr>
      <w:r w:rsidRPr="00787587">
        <w:rPr>
          <w:rFonts w:ascii="Arial" w:hAnsi="Arial" w:cs="Arial"/>
          <w:color w:val="000000"/>
          <w:sz w:val="21"/>
          <w:szCs w:val="21"/>
        </w:rPr>
        <w:t xml:space="preserve">La resolución que culmina con el procedimiento de evaluación de la Modificación del Estudio de Impacto Ambiental es puesta en conocimiento de la Autoridad en materia de Fiscalización Ambiental. </w:t>
      </w:r>
      <w:r w:rsidR="00830A0F" w:rsidRPr="00787587">
        <w:rPr>
          <w:rFonts w:ascii="Arial" w:hAnsi="Arial" w:cs="Arial"/>
          <w:color w:val="000000"/>
          <w:sz w:val="21"/>
          <w:szCs w:val="21"/>
        </w:rPr>
        <w:t>En caso</w:t>
      </w:r>
      <w:r w:rsidRPr="00787587">
        <w:rPr>
          <w:rFonts w:ascii="Arial" w:hAnsi="Arial" w:cs="Arial"/>
          <w:color w:val="000000"/>
          <w:sz w:val="21"/>
          <w:szCs w:val="21"/>
        </w:rPr>
        <w:t xml:space="preserve"> </w:t>
      </w:r>
      <w:r w:rsidR="005176FE" w:rsidRPr="00787587">
        <w:rPr>
          <w:rFonts w:ascii="Arial" w:hAnsi="Arial" w:cs="Arial"/>
          <w:color w:val="000000"/>
          <w:sz w:val="21"/>
          <w:szCs w:val="21"/>
        </w:rPr>
        <w:t>esta</w:t>
      </w:r>
      <w:r w:rsidRPr="00787587">
        <w:rPr>
          <w:rFonts w:ascii="Arial" w:hAnsi="Arial" w:cs="Arial"/>
          <w:color w:val="000000"/>
          <w:sz w:val="21"/>
          <w:szCs w:val="21"/>
        </w:rPr>
        <w:t xml:space="preserve"> resolución sea desaprobatoria</w:t>
      </w:r>
      <w:r w:rsidR="00830A0F" w:rsidRPr="00787587">
        <w:rPr>
          <w:rFonts w:ascii="Arial" w:hAnsi="Arial" w:cs="Arial"/>
          <w:color w:val="000000"/>
          <w:sz w:val="21"/>
          <w:szCs w:val="21"/>
        </w:rPr>
        <w:t xml:space="preserve"> </w:t>
      </w:r>
      <w:r w:rsidRPr="00787587">
        <w:rPr>
          <w:rFonts w:ascii="Arial" w:hAnsi="Arial" w:cs="Arial"/>
          <w:color w:val="000000"/>
          <w:sz w:val="21"/>
          <w:szCs w:val="21"/>
        </w:rPr>
        <w:t xml:space="preserve">y </w:t>
      </w:r>
      <w:r w:rsidR="00337A8B" w:rsidRPr="00787587">
        <w:rPr>
          <w:rFonts w:ascii="Arial" w:hAnsi="Arial" w:cs="Arial"/>
          <w:color w:val="000000"/>
          <w:sz w:val="21"/>
          <w:szCs w:val="21"/>
        </w:rPr>
        <w:t>esta última</w:t>
      </w:r>
      <w:r w:rsidRPr="00787587">
        <w:rPr>
          <w:rFonts w:ascii="Arial" w:hAnsi="Arial" w:cs="Arial"/>
          <w:color w:val="000000"/>
          <w:sz w:val="21"/>
          <w:szCs w:val="21"/>
        </w:rPr>
        <w:t xml:space="preserve"> Entidad determin</w:t>
      </w:r>
      <w:r w:rsidR="00337A8B" w:rsidRPr="00787587">
        <w:rPr>
          <w:rFonts w:ascii="Arial" w:hAnsi="Arial" w:cs="Arial"/>
          <w:color w:val="000000"/>
          <w:sz w:val="21"/>
          <w:szCs w:val="21"/>
        </w:rPr>
        <w:t>a</w:t>
      </w:r>
      <w:r w:rsidRPr="00787587">
        <w:rPr>
          <w:rFonts w:ascii="Arial" w:hAnsi="Arial" w:cs="Arial"/>
          <w:color w:val="000000"/>
          <w:sz w:val="21"/>
          <w:szCs w:val="21"/>
        </w:rPr>
        <w:t xml:space="preserve"> la existencia de posibles riesgos al ambiente</w:t>
      </w:r>
      <w:r w:rsidR="005176FE" w:rsidRPr="00787587">
        <w:rPr>
          <w:rFonts w:ascii="Arial" w:hAnsi="Arial" w:cs="Arial"/>
          <w:color w:val="000000"/>
          <w:sz w:val="21"/>
          <w:szCs w:val="21"/>
        </w:rPr>
        <w:t xml:space="preserve">, </w:t>
      </w:r>
      <w:r w:rsidRPr="00787587">
        <w:rPr>
          <w:rFonts w:ascii="Arial" w:hAnsi="Arial" w:cs="Arial"/>
          <w:color w:val="000000"/>
          <w:sz w:val="21"/>
          <w:szCs w:val="21"/>
        </w:rPr>
        <w:t xml:space="preserve">debe </w:t>
      </w:r>
      <w:r w:rsidR="00830A0F" w:rsidRPr="00787587">
        <w:rPr>
          <w:rFonts w:ascii="Arial" w:hAnsi="Arial" w:cs="Arial"/>
          <w:color w:val="000000"/>
          <w:sz w:val="21"/>
          <w:szCs w:val="21"/>
        </w:rPr>
        <w:t>reali</w:t>
      </w:r>
      <w:r w:rsidRPr="00787587">
        <w:rPr>
          <w:rFonts w:ascii="Arial" w:hAnsi="Arial" w:cs="Arial"/>
          <w:color w:val="000000"/>
          <w:sz w:val="21"/>
          <w:szCs w:val="21"/>
        </w:rPr>
        <w:t>zar</w:t>
      </w:r>
      <w:r w:rsidR="00830A0F" w:rsidRPr="00787587">
        <w:rPr>
          <w:rFonts w:ascii="Arial" w:hAnsi="Arial" w:cs="Arial"/>
          <w:color w:val="000000"/>
          <w:sz w:val="21"/>
          <w:szCs w:val="21"/>
        </w:rPr>
        <w:t xml:space="preserve"> las acciones que correspondan en el marco de sus competencias.</w:t>
      </w:r>
    </w:p>
    <w:p w14:paraId="768FB40B" w14:textId="77777777" w:rsidR="00830A0F" w:rsidRPr="00787587" w:rsidRDefault="00830A0F" w:rsidP="00DD44DA">
      <w:pPr>
        <w:pStyle w:val="Sinespaciado"/>
        <w:ind w:left="709"/>
        <w:jc w:val="both"/>
        <w:rPr>
          <w:rFonts w:ascii="Arial" w:hAnsi="Arial" w:cs="Arial"/>
          <w:color w:val="000000"/>
          <w:sz w:val="21"/>
          <w:szCs w:val="21"/>
        </w:rPr>
      </w:pPr>
    </w:p>
    <w:p w14:paraId="035B0A14" w14:textId="77777777" w:rsidR="002120CD" w:rsidRDefault="00AE1F9A" w:rsidP="00DD44DA">
      <w:pPr>
        <w:pStyle w:val="Sinespaciado"/>
        <w:ind w:left="709"/>
        <w:jc w:val="both"/>
        <w:rPr>
          <w:rFonts w:ascii="Arial" w:hAnsi="Arial" w:cs="Arial"/>
          <w:color w:val="000000"/>
          <w:sz w:val="21"/>
          <w:szCs w:val="21"/>
        </w:rPr>
      </w:pPr>
      <w:r w:rsidRPr="00787587">
        <w:rPr>
          <w:rFonts w:ascii="Arial" w:hAnsi="Arial" w:cs="Arial"/>
          <w:color w:val="000000"/>
          <w:sz w:val="21"/>
          <w:szCs w:val="21"/>
        </w:rPr>
        <w:t xml:space="preserve">El ejercicio de actividades de hidrocarburos sin dar cumplimiento a lo dispuesto en el presente artículo </w:t>
      </w:r>
      <w:r w:rsidR="00B35CE8" w:rsidRPr="00787587">
        <w:rPr>
          <w:rFonts w:ascii="Arial" w:eastAsia="Arial" w:hAnsi="Arial" w:cs="Arial"/>
          <w:sz w:val="21"/>
          <w:szCs w:val="21"/>
        </w:rPr>
        <w:t xml:space="preserve">es sancionado con una multa </w:t>
      </w:r>
      <w:r w:rsidR="00B35CE8" w:rsidRPr="00787587">
        <w:rPr>
          <w:rFonts w:ascii="Arial" w:eastAsia="Arial" w:hAnsi="Arial" w:cs="Arial"/>
          <w:sz w:val="21"/>
          <w:szCs w:val="21"/>
          <w:highlight w:val="white"/>
        </w:rPr>
        <w:t>de hasta 30 000 Unidades Impositivas Tributarias vigentes a la fecha en que se cumpla el pago,</w:t>
      </w:r>
      <w:r w:rsidR="00B35CE8" w:rsidRPr="00787587">
        <w:rPr>
          <w:rFonts w:ascii="Arial" w:eastAsia="Arial" w:hAnsi="Arial" w:cs="Arial"/>
          <w:sz w:val="21"/>
          <w:szCs w:val="21"/>
        </w:rPr>
        <w:t xml:space="preserve"> de conformidad con lo previsto </w:t>
      </w:r>
      <w:r w:rsidR="00B35CE8" w:rsidRPr="00787587">
        <w:rPr>
          <w:rFonts w:ascii="Arial" w:eastAsia="Arial" w:hAnsi="Arial" w:cs="Arial"/>
          <w:sz w:val="21"/>
          <w:szCs w:val="21"/>
          <w:highlight w:val="white"/>
        </w:rPr>
        <w:t>en el Artículo 136 de la Ley 28611, Ley General del Ambiente y conforme a la tipificación de infracciones y escala de sanciones que el OEFA aprueba</w:t>
      </w:r>
      <w:r w:rsidRPr="00787587">
        <w:rPr>
          <w:rFonts w:ascii="Arial" w:hAnsi="Arial" w:cs="Arial"/>
          <w:color w:val="000000"/>
          <w:sz w:val="21"/>
          <w:szCs w:val="21"/>
        </w:rPr>
        <w:t>.</w:t>
      </w:r>
    </w:p>
    <w:p w14:paraId="11A4A007" w14:textId="77777777" w:rsidR="002120CD" w:rsidRDefault="002120CD" w:rsidP="00DD44DA">
      <w:pPr>
        <w:pStyle w:val="Sinespaciado"/>
        <w:ind w:left="709"/>
        <w:jc w:val="both"/>
        <w:rPr>
          <w:rFonts w:ascii="Arial" w:hAnsi="Arial" w:cs="Arial"/>
          <w:color w:val="000000"/>
          <w:sz w:val="21"/>
          <w:szCs w:val="21"/>
        </w:rPr>
      </w:pPr>
    </w:p>
    <w:p w14:paraId="0738DCB1" w14:textId="07980DA6" w:rsidR="002120CD" w:rsidRPr="00787587" w:rsidRDefault="002120CD" w:rsidP="002120CD">
      <w:pPr>
        <w:pStyle w:val="Sinespaciado"/>
        <w:ind w:left="709"/>
        <w:jc w:val="both"/>
        <w:rPr>
          <w:rFonts w:ascii="Arial" w:hAnsi="Arial" w:cs="Arial"/>
          <w:color w:val="000000"/>
          <w:sz w:val="21"/>
          <w:szCs w:val="21"/>
        </w:rPr>
      </w:pPr>
      <w:r w:rsidRPr="00787587">
        <w:rPr>
          <w:rFonts w:ascii="Arial" w:hAnsi="Arial" w:cs="Arial"/>
          <w:color w:val="000000"/>
          <w:sz w:val="21"/>
          <w:szCs w:val="21"/>
        </w:rPr>
        <w:t xml:space="preserve">Para efectos del presente artículo, los Estudios de Impacto Ambiental que no cuenten con categoría asignada, le corresponde </w:t>
      </w:r>
      <w:r>
        <w:rPr>
          <w:rFonts w:ascii="Arial" w:hAnsi="Arial" w:cs="Arial"/>
          <w:color w:val="000000"/>
          <w:sz w:val="21"/>
          <w:szCs w:val="21"/>
        </w:rPr>
        <w:t>aquella establecida en</w:t>
      </w:r>
      <w:r w:rsidRPr="00787587">
        <w:rPr>
          <w:rFonts w:ascii="Arial" w:hAnsi="Arial" w:cs="Arial"/>
          <w:color w:val="000000"/>
          <w:sz w:val="21"/>
          <w:szCs w:val="21"/>
        </w:rPr>
        <w:t xml:space="preserve"> la clasificación anticipada vigente.</w:t>
      </w:r>
    </w:p>
    <w:p w14:paraId="13CEF975" w14:textId="569E4AB3" w:rsidR="0067376F" w:rsidRPr="00787587" w:rsidRDefault="00DF762E" w:rsidP="00DD44DA">
      <w:pPr>
        <w:pStyle w:val="Sinespaciado"/>
        <w:ind w:left="709"/>
        <w:jc w:val="both"/>
        <w:rPr>
          <w:rFonts w:ascii="Arial" w:hAnsi="Arial" w:cs="Arial"/>
          <w:color w:val="000000"/>
          <w:sz w:val="21"/>
          <w:szCs w:val="21"/>
        </w:rPr>
      </w:pPr>
      <w:r w:rsidRPr="00787587">
        <w:rPr>
          <w:rFonts w:ascii="Arial" w:hAnsi="Arial" w:cs="Arial"/>
          <w:color w:val="000000"/>
          <w:sz w:val="21"/>
          <w:szCs w:val="21"/>
        </w:rPr>
        <w:t>”</w:t>
      </w:r>
    </w:p>
    <w:p w14:paraId="0644C3B7" w14:textId="05097EB7" w:rsidR="0067376F" w:rsidRPr="00787587" w:rsidRDefault="0067376F" w:rsidP="0067376F">
      <w:pPr>
        <w:pStyle w:val="Sinespaciado"/>
        <w:ind w:firstLine="567"/>
        <w:jc w:val="both"/>
        <w:rPr>
          <w:rFonts w:ascii="Arial" w:hAnsi="Arial" w:cs="Arial"/>
          <w:b/>
          <w:bCs/>
          <w:color w:val="000000"/>
          <w:sz w:val="21"/>
          <w:szCs w:val="21"/>
        </w:rPr>
      </w:pPr>
    </w:p>
    <w:p w14:paraId="1714FE87" w14:textId="0ACFC507" w:rsidR="0042084C" w:rsidRDefault="0042084C" w:rsidP="0042084C">
      <w:pPr>
        <w:pStyle w:val="Sinespaciado"/>
        <w:ind w:firstLine="567"/>
        <w:jc w:val="both"/>
        <w:rPr>
          <w:rFonts w:ascii="Arial" w:hAnsi="Arial" w:cs="Arial"/>
          <w:b/>
          <w:sz w:val="21"/>
          <w:szCs w:val="21"/>
        </w:rPr>
      </w:pPr>
      <w:r w:rsidRPr="003B20CF">
        <w:rPr>
          <w:rFonts w:ascii="Arial" w:hAnsi="Arial" w:cs="Arial"/>
          <w:b/>
          <w:sz w:val="21"/>
          <w:szCs w:val="21"/>
        </w:rPr>
        <w:t xml:space="preserve">Artículo </w:t>
      </w:r>
      <w:r>
        <w:rPr>
          <w:rFonts w:ascii="Arial" w:hAnsi="Arial" w:cs="Arial"/>
          <w:b/>
          <w:sz w:val="21"/>
          <w:szCs w:val="21"/>
        </w:rPr>
        <w:t>2</w:t>
      </w:r>
      <w:r w:rsidRPr="003B20CF">
        <w:rPr>
          <w:rFonts w:ascii="Arial" w:hAnsi="Arial" w:cs="Arial"/>
          <w:b/>
          <w:sz w:val="21"/>
          <w:szCs w:val="21"/>
        </w:rPr>
        <w:t xml:space="preserve">.- </w:t>
      </w:r>
      <w:bookmarkStart w:id="3" w:name="_Hlk15480082"/>
      <w:r>
        <w:rPr>
          <w:rFonts w:ascii="Arial" w:hAnsi="Arial" w:cs="Arial"/>
          <w:b/>
          <w:sz w:val="21"/>
          <w:szCs w:val="21"/>
        </w:rPr>
        <w:t xml:space="preserve">Elaboración del contenido </w:t>
      </w:r>
      <w:r w:rsidRPr="0067376F">
        <w:rPr>
          <w:rFonts w:ascii="Arial" w:hAnsi="Arial" w:cs="Arial"/>
          <w:b/>
          <w:bCs/>
          <w:color w:val="000000"/>
          <w:sz w:val="21"/>
          <w:szCs w:val="21"/>
        </w:rPr>
        <w:t xml:space="preserve">de la Modificación del Estudio </w:t>
      </w:r>
      <w:r w:rsidR="006A6D3E">
        <w:rPr>
          <w:rFonts w:ascii="Arial" w:hAnsi="Arial" w:cs="Arial"/>
          <w:b/>
          <w:bCs/>
          <w:color w:val="000000"/>
          <w:sz w:val="21"/>
          <w:szCs w:val="21"/>
        </w:rPr>
        <w:t xml:space="preserve">de Impacto </w:t>
      </w:r>
      <w:r w:rsidRPr="0067376F">
        <w:rPr>
          <w:rFonts w:ascii="Arial" w:hAnsi="Arial" w:cs="Arial"/>
          <w:b/>
          <w:bCs/>
          <w:color w:val="000000"/>
          <w:sz w:val="21"/>
          <w:szCs w:val="21"/>
        </w:rPr>
        <w:t>Ambiental</w:t>
      </w:r>
      <w:r w:rsidRPr="003B20CF">
        <w:rPr>
          <w:rFonts w:ascii="Arial" w:hAnsi="Arial" w:cs="Arial"/>
          <w:b/>
          <w:sz w:val="21"/>
          <w:szCs w:val="21"/>
        </w:rPr>
        <w:t xml:space="preserve"> </w:t>
      </w:r>
      <w:r>
        <w:rPr>
          <w:rFonts w:ascii="Arial" w:hAnsi="Arial" w:cs="Arial"/>
          <w:b/>
          <w:sz w:val="21"/>
          <w:szCs w:val="21"/>
        </w:rPr>
        <w:t xml:space="preserve">regulada en el Artículo 41-A del </w:t>
      </w:r>
      <w:r w:rsidRPr="0042084C">
        <w:rPr>
          <w:rFonts w:ascii="Arial" w:hAnsi="Arial" w:cs="Arial"/>
          <w:b/>
          <w:sz w:val="21"/>
          <w:szCs w:val="21"/>
        </w:rPr>
        <w:t>Reglamento para la Protección Ambiental en las Actividades de Hidrocarburos</w:t>
      </w:r>
      <w:bookmarkEnd w:id="3"/>
    </w:p>
    <w:p w14:paraId="5FC64494" w14:textId="77777777" w:rsidR="00032665" w:rsidRPr="0042084C" w:rsidRDefault="00032665" w:rsidP="0042084C">
      <w:pPr>
        <w:pStyle w:val="Sinespaciado"/>
        <w:ind w:firstLine="567"/>
        <w:jc w:val="both"/>
        <w:rPr>
          <w:rFonts w:ascii="Arial" w:hAnsi="Arial" w:cs="Arial"/>
          <w:b/>
          <w:sz w:val="21"/>
          <w:szCs w:val="21"/>
        </w:rPr>
      </w:pPr>
    </w:p>
    <w:p w14:paraId="1B75399E" w14:textId="578B01C5" w:rsidR="0042084C" w:rsidRPr="00474405" w:rsidRDefault="0042084C" w:rsidP="0042084C">
      <w:pPr>
        <w:pStyle w:val="Sinespaciado"/>
        <w:jc w:val="both"/>
        <w:rPr>
          <w:rFonts w:ascii="Arial" w:hAnsi="Arial" w:cs="Arial"/>
          <w:sz w:val="21"/>
          <w:szCs w:val="21"/>
        </w:rPr>
      </w:pPr>
      <w:r w:rsidRPr="00474405">
        <w:rPr>
          <w:rFonts w:ascii="Arial" w:hAnsi="Arial" w:cs="Arial"/>
          <w:sz w:val="21"/>
          <w:szCs w:val="21"/>
        </w:rPr>
        <w:t xml:space="preserve">Los </w:t>
      </w:r>
      <w:r>
        <w:rPr>
          <w:rFonts w:ascii="Arial" w:hAnsi="Arial" w:cs="Arial"/>
          <w:sz w:val="21"/>
          <w:szCs w:val="21"/>
        </w:rPr>
        <w:t xml:space="preserve">contenidos mínimos para </w:t>
      </w:r>
      <w:r w:rsidRPr="00474405">
        <w:rPr>
          <w:rFonts w:ascii="Arial" w:hAnsi="Arial" w:cs="Arial"/>
          <w:sz w:val="21"/>
          <w:szCs w:val="21"/>
        </w:rPr>
        <w:t>la</w:t>
      </w:r>
      <w:r>
        <w:rPr>
          <w:rFonts w:ascii="Arial" w:hAnsi="Arial" w:cs="Arial"/>
          <w:sz w:val="21"/>
          <w:szCs w:val="21"/>
        </w:rPr>
        <w:t xml:space="preserve"> elaboración de</w:t>
      </w:r>
      <w:r w:rsidRPr="00474405">
        <w:rPr>
          <w:rFonts w:ascii="Arial" w:hAnsi="Arial" w:cs="Arial"/>
          <w:sz w:val="21"/>
          <w:szCs w:val="21"/>
        </w:rPr>
        <w:t xml:space="preserve"> </w:t>
      </w:r>
      <w:r>
        <w:rPr>
          <w:rFonts w:ascii="Arial" w:hAnsi="Arial" w:cs="Arial"/>
          <w:sz w:val="21"/>
          <w:szCs w:val="21"/>
        </w:rPr>
        <w:t xml:space="preserve">la </w:t>
      </w:r>
      <w:r w:rsidRPr="0042084C">
        <w:rPr>
          <w:rFonts w:ascii="Arial" w:hAnsi="Arial" w:cs="Arial"/>
          <w:bCs/>
          <w:color w:val="000000"/>
          <w:sz w:val="21"/>
          <w:szCs w:val="21"/>
        </w:rPr>
        <w:t>Modificación del Estudio</w:t>
      </w:r>
      <w:r w:rsidR="006A6D3E">
        <w:rPr>
          <w:rFonts w:ascii="Arial" w:hAnsi="Arial" w:cs="Arial"/>
          <w:bCs/>
          <w:color w:val="000000"/>
          <w:sz w:val="21"/>
          <w:szCs w:val="21"/>
        </w:rPr>
        <w:t xml:space="preserve"> de Impacto</w:t>
      </w:r>
      <w:r w:rsidRPr="0042084C">
        <w:rPr>
          <w:rFonts w:ascii="Arial" w:hAnsi="Arial" w:cs="Arial"/>
          <w:bCs/>
          <w:color w:val="000000"/>
          <w:sz w:val="21"/>
          <w:szCs w:val="21"/>
        </w:rPr>
        <w:t xml:space="preserve"> Ambiental</w:t>
      </w:r>
      <w:r w:rsidRPr="0042084C">
        <w:rPr>
          <w:rFonts w:ascii="Arial" w:hAnsi="Arial" w:cs="Arial"/>
          <w:sz w:val="21"/>
          <w:szCs w:val="21"/>
        </w:rPr>
        <w:t xml:space="preserve"> regulada en el Artículo 41-A del Reglamento para la Protección Ambiental en las Actividades de Hidrocarburos </w:t>
      </w:r>
      <w:r w:rsidRPr="00474405">
        <w:rPr>
          <w:rFonts w:ascii="Arial" w:hAnsi="Arial" w:cs="Arial"/>
          <w:sz w:val="21"/>
          <w:szCs w:val="21"/>
        </w:rPr>
        <w:t xml:space="preserve">serán aprobados mediante Resolución Ministerial del Ministerio de Energía y Minas, con la opinión favorable del Ministerio del Ambiente, </w:t>
      </w:r>
      <w:r w:rsidR="0090311E">
        <w:rPr>
          <w:rFonts w:ascii="Arial" w:hAnsi="Arial" w:cs="Arial"/>
          <w:sz w:val="21"/>
          <w:szCs w:val="21"/>
        </w:rPr>
        <w:t xml:space="preserve">en coordinación con el Servicio Nacional de Certificación Ambiental para las Inversiones Sostenibles – SENACE </w:t>
      </w:r>
      <w:r w:rsidRPr="00474405">
        <w:rPr>
          <w:rFonts w:ascii="Arial" w:hAnsi="Arial" w:cs="Arial"/>
          <w:sz w:val="21"/>
          <w:szCs w:val="21"/>
        </w:rPr>
        <w:t xml:space="preserve">en el plazo máximo de </w:t>
      </w:r>
      <w:r w:rsidR="0090311E">
        <w:rPr>
          <w:rFonts w:ascii="Arial" w:hAnsi="Arial" w:cs="Arial"/>
          <w:sz w:val="21"/>
          <w:szCs w:val="21"/>
        </w:rPr>
        <w:t>ciento ochenta</w:t>
      </w:r>
      <w:r w:rsidR="0090311E" w:rsidRPr="00474405">
        <w:rPr>
          <w:rFonts w:ascii="Arial" w:hAnsi="Arial" w:cs="Arial"/>
          <w:sz w:val="21"/>
          <w:szCs w:val="21"/>
        </w:rPr>
        <w:t xml:space="preserve"> </w:t>
      </w:r>
      <w:r w:rsidRPr="00474405">
        <w:rPr>
          <w:rFonts w:ascii="Arial" w:hAnsi="Arial" w:cs="Arial"/>
          <w:sz w:val="21"/>
          <w:szCs w:val="21"/>
        </w:rPr>
        <w:t>(</w:t>
      </w:r>
      <w:r w:rsidR="0090311E">
        <w:rPr>
          <w:rFonts w:ascii="Arial" w:hAnsi="Arial" w:cs="Arial"/>
          <w:sz w:val="21"/>
          <w:szCs w:val="21"/>
        </w:rPr>
        <w:t>180</w:t>
      </w:r>
      <w:r w:rsidRPr="00474405">
        <w:rPr>
          <w:rFonts w:ascii="Arial" w:hAnsi="Arial" w:cs="Arial"/>
          <w:sz w:val="21"/>
          <w:szCs w:val="21"/>
        </w:rPr>
        <w:t xml:space="preserve">) </w:t>
      </w:r>
      <w:r w:rsidR="0090311E">
        <w:rPr>
          <w:rFonts w:ascii="Arial" w:hAnsi="Arial" w:cs="Arial"/>
          <w:sz w:val="21"/>
          <w:szCs w:val="21"/>
        </w:rPr>
        <w:t>días calendario</w:t>
      </w:r>
      <w:r w:rsidRPr="00474405">
        <w:rPr>
          <w:rFonts w:ascii="Arial" w:hAnsi="Arial" w:cs="Arial"/>
          <w:sz w:val="21"/>
          <w:szCs w:val="21"/>
        </w:rPr>
        <w:t xml:space="preserve"> contados desde la entrada en vigencia del presente Decreto Supremo.</w:t>
      </w:r>
    </w:p>
    <w:p w14:paraId="7B301B31" w14:textId="77777777" w:rsidR="0042084C" w:rsidRDefault="0042084C" w:rsidP="003B20CF">
      <w:pPr>
        <w:pStyle w:val="Sinespaciado"/>
        <w:ind w:firstLine="567"/>
        <w:jc w:val="both"/>
        <w:rPr>
          <w:rFonts w:ascii="Arial" w:hAnsi="Arial" w:cs="Arial"/>
          <w:b/>
          <w:sz w:val="21"/>
          <w:szCs w:val="21"/>
        </w:rPr>
      </w:pPr>
    </w:p>
    <w:p w14:paraId="7F901ADC" w14:textId="77777777" w:rsidR="003B20CF" w:rsidRPr="003B20CF" w:rsidRDefault="003B20CF" w:rsidP="003B20CF">
      <w:pPr>
        <w:pStyle w:val="Sinespaciado"/>
        <w:ind w:firstLine="567"/>
        <w:jc w:val="both"/>
        <w:rPr>
          <w:rFonts w:ascii="Arial" w:hAnsi="Arial" w:cs="Arial"/>
          <w:b/>
          <w:sz w:val="21"/>
          <w:szCs w:val="21"/>
        </w:rPr>
      </w:pPr>
      <w:r w:rsidRPr="003B20CF">
        <w:rPr>
          <w:rFonts w:ascii="Arial" w:hAnsi="Arial" w:cs="Arial"/>
          <w:b/>
          <w:sz w:val="21"/>
          <w:szCs w:val="21"/>
        </w:rPr>
        <w:t xml:space="preserve">Artículo </w:t>
      </w:r>
      <w:r w:rsidR="0042084C">
        <w:rPr>
          <w:rFonts w:ascii="Arial" w:hAnsi="Arial" w:cs="Arial"/>
          <w:b/>
          <w:sz w:val="21"/>
          <w:szCs w:val="21"/>
        </w:rPr>
        <w:t>3</w:t>
      </w:r>
      <w:r w:rsidRPr="003B20CF">
        <w:rPr>
          <w:rFonts w:ascii="Arial" w:hAnsi="Arial" w:cs="Arial"/>
          <w:b/>
          <w:sz w:val="21"/>
          <w:szCs w:val="21"/>
        </w:rPr>
        <w:t>.- Financiamiento</w:t>
      </w:r>
    </w:p>
    <w:p w14:paraId="5663780F" w14:textId="77777777" w:rsidR="003B20CF" w:rsidRPr="003B20CF" w:rsidRDefault="003B20CF" w:rsidP="003B20CF">
      <w:pPr>
        <w:pStyle w:val="Sinespaciado"/>
        <w:ind w:firstLine="567"/>
        <w:jc w:val="both"/>
        <w:rPr>
          <w:rFonts w:ascii="Arial" w:hAnsi="Arial" w:cs="Arial"/>
          <w:sz w:val="21"/>
          <w:szCs w:val="21"/>
        </w:rPr>
      </w:pPr>
      <w:r w:rsidRPr="003B20CF">
        <w:rPr>
          <w:rFonts w:ascii="Arial" w:hAnsi="Arial" w:cs="Arial"/>
          <w:sz w:val="21"/>
          <w:szCs w:val="21"/>
        </w:rPr>
        <w:t>La aplicación del presente Decreto Supremo se financia con cargo al presupuesto institucional de los pliegos involucrados, sin demandar recursos adicionales al Tesoro Público.</w:t>
      </w:r>
    </w:p>
    <w:p w14:paraId="4101C751" w14:textId="77777777" w:rsidR="003B20CF" w:rsidRPr="003B20CF" w:rsidRDefault="003B20CF" w:rsidP="003B20CF">
      <w:pPr>
        <w:pStyle w:val="Sinespaciado"/>
        <w:ind w:firstLine="567"/>
        <w:jc w:val="both"/>
        <w:rPr>
          <w:rFonts w:ascii="Arial" w:hAnsi="Arial" w:cs="Arial"/>
          <w:b/>
          <w:sz w:val="21"/>
          <w:szCs w:val="21"/>
        </w:rPr>
      </w:pPr>
    </w:p>
    <w:p w14:paraId="7C484F88" w14:textId="77777777" w:rsidR="003B20CF" w:rsidRPr="003B20CF" w:rsidRDefault="003B20CF" w:rsidP="003B20CF">
      <w:pPr>
        <w:pStyle w:val="Sinespaciado"/>
        <w:ind w:firstLine="567"/>
        <w:jc w:val="both"/>
        <w:rPr>
          <w:rFonts w:ascii="Arial" w:hAnsi="Arial" w:cs="Arial"/>
          <w:b/>
          <w:sz w:val="21"/>
          <w:szCs w:val="21"/>
        </w:rPr>
      </w:pPr>
      <w:r w:rsidRPr="003B20CF">
        <w:rPr>
          <w:rFonts w:ascii="Arial" w:hAnsi="Arial" w:cs="Arial"/>
          <w:b/>
          <w:bCs/>
          <w:sz w:val="21"/>
          <w:szCs w:val="21"/>
        </w:rPr>
        <w:t> </w:t>
      </w:r>
      <w:r w:rsidRPr="003B20CF">
        <w:rPr>
          <w:rFonts w:ascii="Arial" w:hAnsi="Arial" w:cs="Arial"/>
          <w:b/>
          <w:sz w:val="21"/>
          <w:szCs w:val="21"/>
        </w:rPr>
        <w:t xml:space="preserve">Artículo </w:t>
      </w:r>
      <w:r w:rsidR="0042084C">
        <w:rPr>
          <w:rFonts w:ascii="Arial" w:hAnsi="Arial" w:cs="Arial"/>
          <w:b/>
          <w:sz w:val="21"/>
          <w:szCs w:val="21"/>
        </w:rPr>
        <w:t>4</w:t>
      </w:r>
      <w:r w:rsidRPr="003B20CF">
        <w:rPr>
          <w:rFonts w:ascii="Arial" w:hAnsi="Arial" w:cs="Arial"/>
          <w:b/>
          <w:sz w:val="21"/>
          <w:szCs w:val="21"/>
        </w:rPr>
        <w:t>.- Vigencia y refrendo</w:t>
      </w:r>
    </w:p>
    <w:p w14:paraId="7D1FFDD4" w14:textId="77777777" w:rsidR="003B20CF" w:rsidRPr="003B20CF" w:rsidRDefault="003B20CF" w:rsidP="003B20CF">
      <w:pPr>
        <w:pStyle w:val="Sinespaciado"/>
        <w:ind w:firstLine="567"/>
        <w:jc w:val="both"/>
        <w:rPr>
          <w:rFonts w:ascii="Arial" w:hAnsi="Arial" w:cs="Arial"/>
          <w:sz w:val="21"/>
          <w:szCs w:val="21"/>
          <w:lang w:eastAsia="es-PE"/>
        </w:rPr>
      </w:pPr>
      <w:r w:rsidRPr="003B20CF">
        <w:rPr>
          <w:rFonts w:ascii="Arial" w:hAnsi="Arial" w:cs="Arial"/>
          <w:sz w:val="21"/>
          <w:szCs w:val="21"/>
          <w:lang w:eastAsia="es-PE"/>
        </w:rPr>
        <w:t>El presente Decreto Supremo entrará en vigencia al día siguiente de su publicación en el Diario Oficial El Peruano y es refrendado por el Ministro de Energía y Minas y la Ministra del Ambiente.</w:t>
      </w:r>
    </w:p>
    <w:p w14:paraId="4F599DBC" w14:textId="77777777" w:rsidR="00B479AD" w:rsidRPr="008402DF" w:rsidRDefault="00B479AD" w:rsidP="0067376F">
      <w:pPr>
        <w:pStyle w:val="Sinespaciado"/>
        <w:jc w:val="both"/>
        <w:rPr>
          <w:rFonts w:ascii="Arial" w:hAnsi="Arial" w:cs="Arial"/>
          <w:sz w:val="21"/>
          <w:szCs w:val="21"/>
        </w:rPr>
      </w:pPr>
    </w:p>
    <w:p w14:paraId="3C05088B" w14:textId="6BC27A8A" w:rsidR="008402DF" w:rsidRPr="008402DF" w:rsidRDefault="008402DF" w:rsidP="0067376F">
      <w:pPr>
        <w:pStyle w:val="Sinespaciado"/>
        <w:jc w:val="both"/>
        <w:rPr>
          <w:rFonts w:ascii="Arial" w:hAnsi="Arial" w:cs="Arial"/>
          <w:sz w:val="21"/>
          <w:szCs w:val="21"/>
        </w:rPr>
      </w:pPr>
      <w:r w:rsidRPr="008402DF">
        <w:rPr>
          <w:rFonts w:ascii="Arial" w:hAnsi="Arial" w:cs="Arial"/>
          <w:color w:val="000000"/>
          <w:sz w:val="21"/>
          <w:szCs w:val="21"/>
          <w:shd w:val="clear" w:color="auto" w:fill="FFFFFF"/>
        </w:rPr>
        <w:t xml:space="preserve">Dado en la Casa de Gobierno, en Lima, a los </w:t>
      </w:r>
      <w:r>
        <w:rPr>
          <w:rFonts w:ascii="Arial" w:hAnsi="Arial" w:cs="Arial"/>
          <w:color w:val="000000"/>
          <w:sz w:val="21"/>
          <w:szCs w:val="21"/>
          <w:shd w:val="clear" w:color="auto" w:fill="FFFFFF"/>
        </w:rPr>
        <w:t xml:space="preserve">     </w:t>
      </w:r>
      <w:r w:rsidRPr="008402DF">
        <w:rPr>
          <w:rFonts w:ascii="Arial" w:hAnsi="Arial" w:cs="Arial"/>
          <w:color w:val="000000"/>
          <w:sz w:val="21"/>
          <w:szCs w:val="21"/>
          <w:shd w:val="clear" w:color="auto" w:fill="FFFFFF"/>
        </w:rPr>
        <w:t xml:space="preserve">días del mes de </w:t>
      </w:r>
      <w:r w:rsidR="005B263F">
        <w:rPr>
          <w:rFonts w:ascii="Arial" w:hAnsi="Arial" w:cs="Arial"/>
          <w:color w:val="000000"/>
          <w:sz w:val="21"/>
          <w:szCs w:val="21"/>
          <w:shd w:val="clear" w:color="auto" w:fill="FFFFFF"/>
        </w:rPr>
        <w:t>agosto</w:t>
      </w:r>
      <w:r w:rsidRPr="008402DF">
        <w:rPr>
          <w:rFonts w:ascii="Arial" w:hAnsi="Arial" w:cs="Arial"/>
          <w:color w:val="000000"/>
          <w:sz w:val="21"/>
          <w:szCs w:val="21"/>
          <w:shd w:val="clear" w:color="auto" w:fill="FFFFFF"/>
        </w:rPr>
        <w:t xml:space="preserve"> del año dos mil dieci</w:t>
      </w:r>
      <w:r>
        <w:rPr>
          <w:rFonts w:ascii="Arial" w:hAnsi="Arial" w:cs="Arial"/>
          <w:color w:val="000000"/>
          <w:sz w:val="21"/>
          <w:szCs w:val="21"/>
          <w:shd w:val="clear" w:color="auto" w:fill="FFFFFF"/>
        </w:rPr>
        <w:t>nueve</w:t>
      </w:r>
      <w:r w:rsidRPr="008402DF">
        <w:rPr>
          <w:rFonts w:ascii="Arial" w:hAnsi="Arial" w:cs="Arial"/>
          <w:color w:val="000000"/>
          <w:sz w:val="21"/>
          <w:szCs w:val="21"/>
          <w:shd w:val="clear" w:color="auto" w:fill="FFFFFF"/>
        </w:rPr>
        <w:t>.</w:t>
      </w:r>
    </w:p>
    <w:sectPr w:rsidR="008402DF" w:rsidRPr="008402DF" w:rsidSect="00864171">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3A8F" w14:textId="77777777" w:rsidR="004D59EF" w:rsidRDefault="004D59EF" w:rsidP="006A6353">
      <w:pPr>
        <w:spacing w:after="0" w:line="240" w:lineRule="auto"/>
      </w:pPr>
      <w:r>
        <w:separator/>
      </w:r>
    </w:p>
  </w:endnote>
  <w:endnote w:type="continuationSeparator" w:id="0">
    <w:p w14:paraId="37B9DAEE" w14:textId="77777777" w:rsidR="004D59EF" w:rsidRDefault="004D59EF" w:rsidP="006A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5357" w14:textId="77777777" w:rsidR="004D59EF" w:rsidRDefault="004D59EF" w:rsidP="006A6353">
      <w:pPr>
        <w:spacing w:after="0" w:line="240" w:lineRule="auto"/>
      </w:pPr>
      <w:r>
        <w:separator/>
      </w:r>
    </w:p>
  </w:footnote>
  <w:footnote w:type="continuationSeparator" w:id="0">
    <w:p w14:paraId="0F328631" w14:textId="77777777" w:rsidR="004D59EF" w:rsidRDefault="004D59EF" w:rsidP="006A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FE7"/>
    <w:multiLevelType w:val="hybridMultilevel"/>
    <w:tmpl w:val="CF9E86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65037F"/>
    <w:multiLevelType w:val="hybridMultilevel"/>
    <w:tmpl w:val="C148A3E0"/>
    <w:lvl w:ilvl="0" w:tplc="61766F82">
      <w:start w:val="1"/>
      <w:numFmt w:val="decimal"/>
      <w:lvlText w:val="Artículo %1.-"/>
      <w:lvlJc w:val="left"/>
      <w:pPr>
        <w:ind w:left="928" w:hanging="360"/>
      </w:pPr>
      <w:rPr>
        <w:rFonts w:ascii="Arial" w:hAnsi="Arial" w:hint="default"/>
        <w:b/>
        <w:i w:val="0"/>
        <w:sz w:val="21"/>
      </w:r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2" w15:restartNumberingAfterBreak="0">
    <w:nsid w:val="0E5C1C8B"/>
    <w:multiLevelType w:val="hybridMultilevel"/>
    <w:tmpl w:val="5D18DB14"/>
    <w:lvl w:ilvl="0" w:tplc="B28084FC">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105255E1"/>
    <w:multiLevelType w:val="multilevel"/>
    <w:tmpl w:val="9DCE51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0D62E9"/>
    <w:multiLevelType w:val="hybridMultilevel"/>
    <w:tmpl w:val="92065FAC"/>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38055B5C"/>
    <w:multiLevelType w:val="hybridMultilevel"/>
    <w:tmpl w:val="39363058"/>
    <w:lvl w:ilvl="0" w:tplc="4DA4D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722FE"/>
    <w:multiLevelType w:val="hybridMultilevel"/>
    <w:tmpl w:val="904660D6"/>
    <w:lvl w:ilvl="0" w:tplc="E70438DA">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7" w15:restartNumberingAfterBreak="0">
    <w:nsid w:val="3BB13377"/>
    <w:multiLevelType w:val="hybridMultilevel"/>
    <w:tmpl w:val="3B86CF9E"/>
    <w:lvl w:ilvl="0" w:tplc="B28084FC">
      <w:start w:val="4"/>
      <w:numFmt w:val="bullet"/>
      <w:lvlText w:val="-"/>
      <w:lvlJc w:val="left"/>
      <w:pPr>
        <w:ind w:left="1146" w:hanging="360"/>
      </w:pPr>
      <w:rPr>
        <w:rFonts w:ascii="Arial" w:eastAsia="Times New Roman" w:hAnsi="Arial" w:cs="Aria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 w15:restartNumberingAfterBreak="0">
    <w:nsid w:val="59C5332A"/>
    <w:multiLevelType w:val="hybridMultilevel"/>
    <w:tmpl w:val="0D28061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11951EF"/>
    <w:multiLevelType w:val="hybridMultilevel"/>
    <w:tmpl w:val="EFA05BB2"/>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15:restartNumberingAfterBreak="0">
    <w:nsid w:val="67433078"/>
    <w:multiLevelType w:val="hybridMultilevel"/>
    <w:tmpl w:val="AD2C27A4"/>
    <w:lvl w:ilvl="0" w:tplc="B28084FC">
      <w:start w:val="4"/>
      <w:numFmt w:val="bullet"/>
      <w:lvlText w:val="-"/>
      <w:lvlJc w:val="left"/>
      <w:pPr>
        <w:ind w:left="1146" w:hanging="360"/>
      </w:pPr>
      <w:rPr>
        <w:rFonts w:ascii="Arial" w:eastAsia="Times New Roman" w:hAnsi="Arial" w:cs="Arial" w:hint="default"/>
      </w:rPr>
    </w:lvl>
    <w:lvl w:ilvl="1" w:tplc="B28084FC">
      <w:start w:val="4"/>
      <w:numFmt w:val="bullet"/>
      <w:lvlText w:val="-"/>
      <w:lvlJc w:val="left"/>
      <w:pPr>
        <w:ind w:left="1866" w:hanging="360"/>
      </w:pPr>
      <w:rPr>
        <w:rFonts w:ascii="Arial" w:eastAsia="Times New Roman" w:hAnsi="Arial" w:cs="Arial" w:hint="default"/>
      </w:rPr>
    </w:lvl>
    <w:lvl w:ilvl="2" w:tplc="14625B50">
      <w:start w:val="11"/>
      <w:numFmt w:val="bullet"/>
      <w:lvlText w:val=""/>
      <w:lvlJc w:val="left"/>
      <w:pPr>
        <w:ind w:left="2586" w:hanging="360"/>
      </w:pPr>
      <w:rPr>
        <w:rFonts w:ascii="Symbol" w:eastAsia="Times New Roman" w:hAnsi="Symbol" w:cs="Arial"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 w15:restartNumberingAfterBreak="0">
    <w:nsid w:val="6F014047"/>
    <w:multiLevelType w:val="hybridMultilevel"/>
    <w:tmpl w:val="636ED6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6FD0D44"/>
    <w:multiLevelType w:val="hybridMultilevel"/>
    <w:tmpl w:val="5712DA32"/>
    <w:lvl w:ilvl="0" w:tplc="280A0017">
      <w:start w:val="1"/>
      <w:numFmt w:val="lowerLetter"/>
      <w:lvlText w:val="%1)"/>
      <w:lvlJc w:val="left"/>
      <w:pPr>
        <w:ind w:left="1287" w:hanging="360"/>
      </w:pPr>
    </w:lvl>
    <w:lvl w:ilvl="1" w:tplc="5E484B88">
      <w:start w:val="11"/>
      <w:numFmt w:val="bullet"/>
      <w:lvlText w:val="-"/>
      <w:lvlJc w:val="left"/>
      <w:pPr>
        <w:ind w:left="2007" w:hanging="360"/>
      </w:pPr>
      <w:rPr>
        <w:rFonts w:ascii="Arial" w:eastAsia="Times New Roman" w:hAnsi="Arial" w:cs="Arial"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 w15:restartNumberingAfterBreak="0">
    <w:nsid w:val="7B6E744B"/>
    <w:multiLevelType w:val="hybridMultilevel"/>
    <w:tmpl w:val="B4246FAE"/>
    <w:lvl w:ilvl="0" w:tplc="A1721FE4">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0"/>
  </w:num>
  <w:num w:numId="6">
    <w:abstractNumId w:val="11"/>
  </w:num>
  <w:num w:numId="7">
    <w:abstractNumId w:val="9"/>
  </w:num>
  <w:num w:numId="8">
    <w:abstractNumId w:val="12"/>
  </w:num>
  <w:num w:numId="9">
    <w:abstractNumId w:val="6"/>
  </w:num>
  <w:num w:numId="10">
    <w:abstractNumId w:val="7"/>
  </w:num>
  <w:num w:numId="11">
    <w:abstractNumId w:val="10"/>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8E"/>
    <w:rsid w:val="000141CD"/>
    <w:rsid w:val="00032665"/>
    <w:rsid w:val="000E7D4D"/>
    <w:rsid w:val="00154CD0"/>
    <w:rsid w:val="001F4DDF"/>
    <w:rsid w:val="0021169B"/>
    <w:rsid w:val="002120CD"/>
    <w:rsid w:val="0024701F"/>
    <w:rsid w:val="002570CF"/>
    <w:rsid w:val="002644F1"/>
    <w:rsid w:val="002A2BC3"/>
    <w:rsid w:val="002B13CD"/>
    <w:rsid w:val="002C42DF"/>
    <w:rsid w:val="002C66FE"/>
    <w:rsid w:val="00312471"/>
    <w:rsid w:val="00337A8B"/>
    <w:rsid w:val="00343C26"/>
    <w:rsid w:val="003523BA"/>
    <w:rsid w:val="0036752A"/>
    <w:rsid w:val="003B20CF"/>
    <w:rsid w:val="00403502"/>
    <w:rsid w:val="00405BE1"/>
    <w:rsid w:val="0042084C"/>
    <w:rsid w:val="00464DC4"/>
    <w:rsid w:val="00470CCC"/>
    <w:rsid w:val="00472855"/>
    <w:rsid w:val="004737C4"/>
    <w:rsid w:val="00487BE7"/>
    <w:rsid w:val="004A3B35"/>
    <w:rsid w:val="004D59EF"/>
    <w:rsid w:val="00501C49"/>
    <w:rsid w:val="0051700C"/>
    <w:rsid w:val="005176FE"/>
    <w:rsid w:val="00547316"/>
    <w:rsid w:val="00551AC0"/>
    <w:rsid w:val="005B263F"/>
    <w:rsid w:val="005C2962"/>
    <w:rsid w:val="005E6E35"/>
    <w:rsid w:val="00652076"/>
    <w:rsid w:val="006543F7"/>
    <w:rsid w:val="0067376F"/>
    <w:rsid w:val="006859E1"/>
    <w:rsid w:val="0069201B"/>
    <w:rsid w:val="0069599E"/>
    <w:rsid w:val="006A6353"/>
    <w:rsid w:val="006A6D3E"/>
    <w:rsid w:val="006C1D6D"/>
    <w:rsid w:val="0070722B"/>
    <w:rsid w:val="00786B6B"/>
    <w:rsid w:val="00787587"/>
    <w:rsid w:val="0080448E"/>
    <w:rsid w:val="00830A0F"/>
    <w:rsid w:val="008402DF"/>
    <w:rsid w:val="00860675"/>
    <w:rsid w:val="00865D82"/>
    <w:rsid w:val="008A3151"/>
    <w:rsid w:val="0090155A"/>
    <w:rsid w:val="0090311E"/>
    <w:rsid w:val="009248B4"/>
    <w:rsid w:val="009725F3"/>
    <w:rsid w:val="009910FF"/>
    <w:rsid w:val="009B007B"/>
    <w:rsid w:val="009C0C9C"/>
    <w:rsid w:val="009F6904"/>
    <w:rsid w:val="00A36893"/>
    <w:rsid w:val="00A40922"/>
    <w:rsid w:val="00A52C64"/>
    <w:rsid w:val="00A55EDB"/>
    <w:rsid w:val="00A84C33"/>
    <w:rsid w:val="00A90C01"/>
    <w:rsid w:val="00AC5D81"/>
    <w:rsid w:val="00AC6755"/>
    <w:rsid w:val="00AE1F9A"/>
    <w:rsid w:val="00AE6AC4"/>
    <w:rsid w:val="00AF1231"/>
    <w:rsid w:val="00B1597D"/>
    <w:rsid w:val="00B313AA"/>
    <w:rsid w:val="00B35CE8"/>
    <w:rsid w:val="00B410EE"/>
    <w:rsid w:val="00B479AD"/>
    <w:rsid w:val="00B87DC2"/>
    <w:rsid w:val="00B901D7"/>
    <w:rsid w:val="00BD3665"/>
    <w:rsid w:val="00BE5043"/>
    <w:rsid w:val="00C2235C"/>
    <w:rsid w:val="00C261F2"/>
    <w:rsid w:val="00CC6737"/>
    <w:rsid w:val="00CC792F"/>
    <w:rsid w:val="00D86834"/>
    <w:rsid w:val="00DD44DA"/>
    <w:rsid w:val="00DF762E"/>
    <w:rsid w:val="00E10D5A"/>
    <w:rsid w:val="00E16F4C"/>
    <w:rsid w:val="00E30625"/>
    <w:rsid w:val="00E31F50"/>
    <w:rsid w:val="00E522D8"/>
    <w:rsid w:val="00E536DE"/>
    <w:rsid w:val="00E7420E"/>
    <w:rsid w:val="00E748CC"/>
    <w:rsid w:val="00EA2D0C"/>
    <w:rsid w:val="00F05E14"/>
    <w:rsid w:val="00F22B8A"/>
    <w:rsid w:val="00F76048"/>
    <w:rsid w:val="00FB6AA8"/>
    <w:rsid w:val="00FC17AA"/>
    <w:rsid w:val="00FC7756"/>
    <w:rsid w:val="00FE19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F68EA"/>
  <w15:docId w15:val="{B3DE683B-6AB8-4554-9999-5555C553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Párrafo de lista2,Footnote,List Paragraph1,Párrafo,Título Tablas y Figuras,Párrafo de lista1,List Paragraph,Lista Numerada 1,Viñeta A Alquim,Viñeta A,Titulo1,Párrafo de lista21,Lista 123,Bolita,BOLA,Titulo de Fígura,TITULO A"/>
    <w:basedOn w:val="Normal"/>
    <w:link w:val="PrrafodelistaCar"/>
    <w:uiPriority w:val="34"/>
    <w:qFormat/>
    <w:rsid w:val="0080448E"/>
    <w:pPr>
      <w:ind w:left="720"/>
      <w:contextualSpacing/>
    </w:pPr>
    <w:rPr>
      <w:rFonts w:eastAsia="Calibri"/>
    </w:rPr>
  </w:style>
  <w:style w:type="character" w:customStyle="1" w:styleId="PrrafodelistaCar">
    <w:name w:val="Párrafo de lista Car"/>
    <w:aliases w:val="Cuadro 2-1 Car,Párrafo de lista2 Car,Footnote Car,List Paragraph1 Car,Párrafo Car,Título Tablas y Figuras Car,Párrafo de lista1 Car,List Paragraph Car,Lista Numerada 1 Car,Viñeta A Alquim Car,Viñeta A Car,Titulo1 Car,Lista 123 Car"/>
    <w:link w:val="Prrafodelista"/>
    <w:uiPriority w:val="34"/>
    <w:qFormat/>
    <w:rsid w:val="0080448E"/>
    <w:rPr>
      <w:rFonts w:ascii="Calibri" w:eastAsia="Calibri" w:hAnsi="Calibri" w:cs="Times New Roman"/>
    </w:rPr>
  </w:style>
  <w:style w:type="paragraph" w:styleId="Subttulo">
    <w:name w:val="Subtitle"/>
    <w:basedOn w:val="Normal"/>
    <w:link w:val="SubttuloCar"/>
    <w:qFormat/>
    <w:rsid w:val="0080448E"/>
    <w:pPr>
      <w:spacing w:before="120" w:after="120" w:line="240" w:lineRule="auto"/>
      <w:jc w:val="both"/>
    </w:pPr>
    <w:rPr>
      <w:rFonts w:ascii="Times New Roman" w:eastAsia="Calibri" w:hAnsi="Times New Roman"/>
      <w:b/>
      <w:bCs/>
      <w:sz w:val="24"/>
      <w:szCs w:val="24"/>
      <w:lang w:val="es-ES" w:eastAsia="es-ES"/>
    </w:rPr>
  </w:style>
  <w:style w:type="character" w:customStyle="1" w:styleId="SubttuloCar">
    <w:name w:val="Subtítulo Car"/>
    <w:basedOn w:val="Fuentedeprrafopredeter"/>
    <w:link w:val="Subttulo"/>
    <w:rsid w:val="0080448E"/>
    <w:rPr>
      <w:rFonts w:ascii="Times New Roman" w:eastAsia="Calibri" w:hAnsi="Times New Roman" w:cs="Times New Roman"/>
      <w:b/>
      <w:bCs/>
      <w:sz w:val="24"/>
      <w:szCs w:val="24"/>
      <w:lang w:val="es-ES" w:eastAsia="es-ES"/>
    </w:rPr>
  </w:style>
  <w:style w:type="paragraph" w:styleId="Sinespaciado">
    <w:name w:val="No Spacing"/>
    <w:uiPriority w:val="1"/>
    <w:qFormat/>
    <w:rsid w:val="0080448E"/>
    <w:pPr>
      <w:spacing w:after="0" w:line="240" w:lineRule="auto"/>
    </w:pPr>
    <w:rPr>
      <w:rFonts w:ascii="Calibri" w:eastAsia="Times New Roman" w:hAnsi="Calibri" w:cs="Times New Roman"/>
    </w:rPr>
  </w:style>
  <w:style w:type="paragraph" w:styleId="NormalWeb">
    <w:name w:val="Normal (Web)"/>
    <w:basedOn w:val="Normal"/>
    <w:uiPriority w:val="99"/>
    <w:unhideWhenUsed/>
    <w:rsid w:val="0080448E"/>
    <w:pPr>
      <w:spacing w:before="100" w:beforeAutospacing="1" w:after="100" w:afterAutospacing="1" w:line="240" w:lineRule="auto"/>
    </w:pPr>
    <w:rPr>
      <w:rFonts w:ascii="Times New Roman" w:hAnsi="Times New Roman"/>
      <w:sz w:val="24"/>
      <w:szCs w:val="24"/>
      <w:lang w:eastAsia="es-PE"/>
    </w:rPr>
  </w:style>
  <w:style w:type="character" w:styleId="Hipervnculo">
    <w:name w:val="Hyperlink"/>
    <w:basedOn w:val="Fuentedeprrafopredeter"/>
    <w:uiPriority w:val="99"/>
    <w:semiHidden/>
    <w:unhideWhenUsed/>
    <w:rsid w:val="0080448E"/>
    <w:rPr>
      <w:color w:val="0000FF"/>
      <w:u w:val="single"/>
    </w:rPr>
  </w:style>
  <w:style w:type="character" w:styleId="nfasis">
    <w:name w:val="Emphasis"/>
    <w:basedOn w:val="Fuentedeprrafopredeter"/>
    <w:uiPriority w:val="20"/>
    <w:qFormat/>
    <w:rsid w:val="009248B4"/>
    <w:rPr>
      <w:i/>
      <w:iCs/>
    </w:rPr>
  </w:style>
  <w:style w:type="paragraph" w:styleId="Textodeglobo">
    <w:name w:val="Balloon Text"/>
    <w:basedOn w:val="Normal"/>
    <w:link w:val="TextodegloboCar"/>
    <w:uiPriority w:val="99"/>
    <w:semiHidden/>
    <w:unhideWhenUsed/>
    <w:rsid w:val="00154C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4CD0"/>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6A6D3E"/>
    <w:rPr>
      <w:sz w:val="16"/>
      <w:szCs w:val="16"/>
    </w:rPr>
  </w:style>
  <w:style w:type="paragraph" w:styleId="Textocomentario">
    <w:name w:val="annotation text"/>
    <w:basedOn w:val="Normal"/>
    <w:link w:val="TextocomentarioCar"/>
    <w:uiPriority w:val="99"/>
    <w:semiHidden/>
    <w:unhideWhenUsed/>
    <w:rsid w:val="006A6D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6D3E"/>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A6D3E"/>
    <w:rPr>
      <w:b/>
      <w:bCs/>
    </w:rPr>
  </w:style>
  <w:style w:type="character" w:customStyle="1" w:styleId="AsuntodelcomentarioCar">
    <w:name w:val="Asunto del comentario Car"/>
    <w:basedOn w:val="TextocomentarioCar"/>
    <w:link w:val="Asuntodelcomentario"/>
    <w:uiPriority w:val="99"/>
    <w:semiHidden/>
    <w:rsid w:val="006A6D3E"/>
    <w:rPr>
      <w:rFonts w:ascii="Calibri" w:eastAsia="Times New Roman" w:hAnsi="Calibri" w:cs="Times New Roman"/>
      <w:b/>
      <w:bCs/>
      <w:sz w:val="20"/>
      <w:szCs w:val="20"/>
    </w:rPr>
  </w:style>
  <w:style w:type="paragraph" w:styleId="Encabezado">
    <w:name w:val="header"/>
    <w:basedOn w:val="Normal"/>
    <w:link w:val="EncabezadoCar"/>
    <w:uiPriority w:val="99"/>
    <w:unhideWhenUsed/>
    <w:rsid w:val="006A63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6353"/>
    <w:rPr>
      <w:rFonts w:ascii="Calibri" w:eastAsia="Times New Roman" w:hAnsi="Calibri" w:cs="Times New Roman"/>
    </w:rPr>
  </w:style>
  <w:style w:type="paragraph" w:styleId="Piedepgina">
    <w:name w:val="footer"/>
    <w:basedOn w:val="Normal"/>
    <w:link w:val="PiedepginaCar"/>
    <w:uiPriority w:val="99"/>
    <w:unhideWhenUsed/>
    <w:rsid w:val="006A63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635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5824">
      <w:bodyDiv w:val="1"/>
      <w:marLeft w:val="0"/>
      <w:marRight w:val="0"/>
      <w:marTop w:val="0"/>
      <w:marBottom w:val="0"/>
      <w:divBdr>
        <w:top w:val="none" w:sz="0" w:space="0" w:color="auto"/>
        <w:left w:val="none" w:sz="0" w:space="0" w:color="auto"/>
        <w:bottom w:val="none" w:sz="0" w:space="0" w:color="auto"/>
        <w:right w:val="none" w:sz="0" w:space="0" w:color="auto"/>
      </w:divBdr>
    </w:div>
    <w:div w:id="247929891">
      <w:bodyDiv w:val="1"/>
      <w:marLeft w:val="0"/>
      <w:marRight w:val="0"/>
      <w:marTop w:val="0"/>
      <w:marBottom w:val="0"/>
      <w:divBdr>
        <w:top w:val="none" w:sz="0" w:space="0" w:color="auto"/>
        <w:left w:val="none" w:sz="0" w:space="0" w:color="auto"/>
        <w:bottom w:val="none" w:sz="0" w:space="0" w:color="auto"/>
        <w:right w:val="none" w:sz="0" w:space="0" w:color="auto"/>
      </w:divBdr>
    </w:div>
    <w:div w:id="1331910419">
      <w:bodyDiv w:val="1"/>
      <w:marLeft w:val="0"/>
      <w:marRight w:val="0"/>
      <w:marTop w:val="0"/>
      <w:marBottom w:val="0"/>
      <w:divBdr>
        <w:top w:val="none" w:sz="0" w:space="0" w:color="auto"/>
        <w:left w:val="none" w:sz="0" w:space="0" w:color="auto"/>
        <w:bottom w:val="none" w:sz="0" w:space="0" w:color="auto"/>
        <w:right w:val="none" w:sz="0" w:space="0" w:color="auto"/>
      </w:divBdr>
    </w:div>
    <w:div w:id="1361122039">
      <w:bodyDiv w:val="1"/>
      <w:marLeft w:val="0"/>
      <w:marRight w:val="0"/>
      <w:marTop w:val="0"/>
      <w:marBottom w:val="0"/>
      <w:divBdr>
        <w:top w:val="none" w:sz="0" w:space="0" w:color="auto"/>
        <w:left w:val="none" w:sz="0" w:space="0" w:color="auto"/>
        <w:bottom w:val="none" w:sz="0" w:space="0" w:color="auto"/>
        <w:right w:val="none" w:sz="0" w:space="0" w:color="auto"/>
      </w:divBdr>
    </w:div>
    <w:div w:id="1513955906">
      <w:bodyDiv w:val="1"/>
      <w:marLeft w:val="0"/>
      <w:marRight w:val="0"/>
      <w:marTop w:val="0"/>
      <w:marBottom w:val="0"/>
      <w:divBdr>
        <w:top w:val="none" w:sz="0" w:space="0" w:color="auto"/>
        <w:left w:val="none" w:sz="0" w:space="0" w:color="auto"/>
        <w:bottom w:val="none" w:sz="0" w:space="0" w:color="auto"/>
        <w:right w:val="none" w:sz="0" w:space="0" w:color="auto"/>
      </w:divBdr>
    </w:div>
    <w:div w:id="1678655891">
      <w:bodyDiv w:val="1"/>
      <w:marLeft w:val="0"/>
      <w:marRight w:val="0"/>
      <w:marTop w:val="0"/>
      <w:marBottom w:val="0"/>
      <w:divBdr>
        <w:top w:val="none" w:sz="0" w:space="0" w:color="auto"/>
        <w:left w:val="none" w:sz="0" w:space="0" w:color="auto"/>
        <w:bottom w:val="none" w:sz="0" w:space="0" w:color="auto"/>
        <w:right w:val="none" w:sz="0" w:space="0" w:color="auto"/>
      </w:divBdr>
    </w:div>
    <w:div w:id="20336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9E726-39F5-42FD-9EFE-3A043D10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2057</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Gallegos Quesquen Patricia Mercedes (D GAH)</dc:creator>
  <cp:lastModifiedBy>Ancieta Sanchez, Wendy Valeria</cp:lastModifiedBy>
  <cp:revision>2</cp:revision>
  <cp:lastPrinted>2019-08-13T23:24:00Z</cp:lastPrinted>
  <dcterms:created xsi:type="dcterms:W3CDTF">2019-08-20T14:50:00Z</dcterms:created>
  <dcterms:modified xsi:type="dcterms:W3CDTF">2019-08-20T14:50:00Z</dcterms:modified>
</cp:coreProperties>
</file>