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46" w:rsidRPr="002F26A2" w:rsidRDefault="00866346" w:rsidP="00866346">
      <w:pPr>
        <w:widowControl w:val="0"/>
        <w:autoSpaceDE w:val="0"/>
        <w:autoSpaceDN w:val="0"/>
        <w:adjustRightInd w:val="0"/>
        <w:spacing w:after="0" w:line="240" w:lineRule="auto"/>
        <w:ind w:right="-1" w:firstLine="708"/>
        <w:rPr>
          <w:rFonts w:ascii="Arial" w:hAnsi="Arial" w:cs="Arial"/>
          <w:sz w:val="20"/>
          <w:szCs w:val="20"/>
        </w:rPr>
      </w:pPr>
    </w:p>
    <w:p w:rsidR="00866346" w:rsidRPr="002F26A2" w:rsidRDefault="00866346" w:rsidP="00866346">
      <w:pPr>
        <w:widowControl w:val="0"/>
        <w:autoSpaceDE w:val="0"/>
        <w:autoSpaceDN w:val="0"/>
        <w:adjustRightInd w:val="0"/>
        <w:spacing w:after="0" w:line="240" w:lineRule="auto"/>
        <w:ind w:right="-1" w:firstLine="708"/>
        <w:rPr>
          <w:rFonts w:ascii="Arial" w:hAnsi="Arial" w:cs="Arial"/>
          <w:sz w:val="20"/>
          <w:szCs w:val="20"/>
        </w:rPr>
      </w:pPr>
    </w:p>
    <w:p w:rsidR="00866346" w:rsidRPr="002F26A2" w:rsidRDefault="00866346" w:rsidP="00866346">
      <w:pPr>
        <w:widowControl w:val="0"/>
        <w:autoSpaceDE w:val="0"/>
        <w:autoSpaceDN w:val="0"/>
        <w:adjustRightInd w:val="0"/>
        <w:spacing w:after="0" w:line="240" w:lineRule="auto"/>
        <w:ind w:right="-1" w:firstLine="708"/>
        <w:rPr>
          <w:rFonts w:ascii="Arial" w:hAnsi="Arial" w:cs="Arial"/>
          <w:sz w:val="20"/>
          <w:szCs w:val="20"/>
        </w:rPr>
      </w:pPr>
    </w:p>
    <w:p w:rsidR="00866346" w:rsidRPr="006B7F54" w:rsidRDefault="00866346" w:rsidP="00866346">
      <w:pPr>
        <w:widowControl w:val="0"/>
        <w:autoSpaceDE w:val="0"/>
        <w:autoSpaceDN w:val="0"/>
        <w:adjustRightInd w:val="0"/>
        <w:spacing w:after="0" w:line="240" w:lineRule="auto"/>
        <w:ind w:right="-1" w:firstLine="708"/>
        <w:rPr>
          <w:rFonts w:ascii="Arial" w:hAnsi="Arial" w:cs="Arial"/>
          <w:sz w:val="20"/>
          <w:szCs w:val="20"/>
        </w:rPr>
      </w:pPr>
    </w:p>
    <w:p w:rsidR="00866346" w:rsidRPr="006B7F54" w:rsidRDefault="00866346" w:rsidP="00866346">
      <w:pPr>
        <w:widowControl w:val="0"/>
        <w:autoSpaceDE w:val="0"/>
        <w:autoSpaceDN w:val="0"/>
        <w:adjustRightInd w:val="0"/>
        <w:spacing w:after="0" w:line="240" w:lineRule="auto"/>
        <w:ind w:right="-1" w:firstLine="708"/>
        <w:rPr>
          <w:rFonts w:ascii="Arial" w:hAnsi="Arial" w:cs="Arial"/>
          <w:sz w:val="20"/>
          <w:szCs w:val="20"/>
        </w:rPr>
      </w:pPr>
    </w:p>
    <w:p w:rsidR="00866346" w:rsidRPr="006B7F54" w:rsidRDefault="00866346" w:rsidP="00866346">
      <w:pPr>
        <w:widowControl w:val="0"/>
        <w:autoSpaceDE w:val="0"/>
        <w:autoSpaceDN w:val="0"/>
        <w:adjustRightInd w:val="0"/>
        <w:spacing w:after="0" w:line="240" w:lineRule="auto"/>
        <w:ind w:right="-1"/>
        <w:jc w:val="both"/>
        <w:rPr>
          <w:rFonts w:ascii="Arial" w:hAnsi="Arial" w:cs="Arial"/>
          <w:sz w:val="20"/>
          <w:szCs w:val="20"/>
        </w:rPr>
      </w:pPr>
    </w:p>
    <w:p w:rsidR="00866346" w:rsidRPr="006B7F54" w:rsidRDefault="00866346" w:rsidP="00866346">
      <w:pPr>
        <w:widowControl w:val="0"/>
        <w:autoSpaceDE w:val="0"/>
        <w:autoSpaceDN w:val="0"/>
        <w:adjustRightInd w:val="0"/>
        <w:spacing w:after="0" w:line="240" w:lineRule="auto"/>
        <w:ind w:right="-1"/>
        <w:jc w:val="both"/>
        <w:rPr>
          <w:rFonts w:ascii="Arial" w:hAnsi="Arial" w:cs="Arial"/>
          <w:sz w:val="20"/>
          <w:szCs w:val="20"/>
        </w:rPr>
      </w:pPr>
    </w:p>
    <w:p w:rsidR="00263A47" w:rsidRDefault="00263A47" w:rsidP="004C2567">
      <w:pPr>
        <w:spacing w:after="0" w:line="240" w:lineRule="auto"/>
        <w:jc w:val="center"/>
        <w:rPr>
          <w:rFonts w:ascii="Arial" w:hAnsi="Arial" w:cs="Arial"/>
          <w:b/>
          <w:sz w:val="20"/>
          <w:szCs w:val="20"/>
        </w:rPr>
      </w:pPr>
    </w:p>
    <w:p w:rsidR="00263A47" w:rsidRDefault="00263A47" w:rsidP="004C2567">
      <w:pPr>
        <w:spacing w:after="0" w:line="240" w:lineRule="auto"/>
        <w:jc w:val="center"/>
        <w:rPr>
          <w:rFonts w:ascii="Arial" w:hAnsi="Arial" w:cs="Arial"/>
          <w:b/>
        </w:rPr>
      </w:pPr>
    </w:p>
    <w:p w:rsidR="006B3B40" w:rsidRPr="00263A47" w:rsidRDefault="006B3B40" w:rsidP="004C2567">
      <w:pPr>
        <w:spacing w:after="0" w:line="240" w:lineRule="auto"/>
        <w:jc w:val="center"/>
        <w:rPr>
          <w:rFonts w:ascii="Arial" w:hAnsi="Arial" w:cs="Arial"/>
          <w:b/>
        </w:rPr>
      </w:pPr>
    </w:p>
    <w:p w:rsidR="004C2567" w:rsidRPr="006D369F" w:rsidRDefault="00866346" w:rsidP="004C2567">
      <w:pPr>
        <w:spacing w:after="0" w:line="240" w:lineRule="auto"/>
        <w:jc w:val="center"/>
        <w:rPr>
          <w:rFonts w:ascii="Arial" w:hAnsi="Arial" w:cs="Arial"/>
          <w:b/>
        </w:rPr>
      </w:pPr>
      <w:r w:rsidRPr="006D369F">
        <w:rPr>
          <w:rFonts w:ascii="Arial" w:hAnsi="Arial" w:cs="Arial"/>
          <w:b/>
        </w:rPr>
        <w:t>DICTAN DISPOSICIONES PARA LA MODIFICACIÓN DE LOS ARTÍCULOS</w:t>
      </w:r>
      <w:r w:rsidR="009669F1">
        <w:rPr>
          <w:rFonts w:ascii="Arial" w:hAnsi="Arial" w:cs="Arial"/>
          <w:b/>
        </w:rPr>
        <w:t xml:space="preserve"> 20,</w:t>
      </w:r>
      <w:r w:rsidRPr="006D369F">
        <w:rPr>
          <w:rFonts w:ascii="Arial" w:hAnsi="Arial" w:cs="Arial"/>
          <w:b/>
        </w:rPr>
        <w:t xml:space="preserve"> </w:t>
      </w:r>
      <w:r w:rsidR="004C2567" w:rsidRPr="006D369F">
        <w:rPr>
          <w:rFonts w:ascii="Arial" w:hAnsi="Arial" w:cs="Arial"/>
          <w:b/>
        </w:rPr>
        <w:t>50 y 51</w:t>
      </w:r>
      <w:r w:rsidRPr="006D369F">
        <w:rPr>
          <w:rFonts w:ascii="Arial" w:hAnsi="Arial" w:cs="Arial"/>
          <w:b/>
        </w:rPr>
        <w:t xml:space="preserve"> </w:t>
      </w:r>
      <w:r w:rsidR="004C2567" w:rsidRPr="006D369F">
        <w:rPr>
          <w:rFonts w:ascii="Arial" w:hAnsi="Arial" w:cs="Arial"/>
          <w:b/>
        </w:rPr>
        <w:t>DEL REGLAMENTO PARA EL CIERRE DE MINAS</w:t>
      </w:r>
    </w:p>
    <w:p w:rsidR="00866346" w:rsidRPr="006D369F" w:rsidRDefault="00866346" w:rsidP="00263A47">
      <w:pPr>
        <w:spacing w:after="0" w:line="240" w:lineRule="auto"/>
        <w:jc w:val="center"/>
        <w:rPr>
          <w:rFonts w:ascii="Arial" w:hAnsi="Arial" w:cs="Arial"/>
          <w:b/>
        </w:rPr>
      </w:pPr>
      <w:r w:rsidRPr="006D369F">
        <w:rPr>
          <w:rFonts w:ascii="Arial" w:hAnsi="Arial" w:cs="Arial"/>
          <w:b/>
        </w:rPr>
        <w:t xml:space="preserve"> APROBADO POR DECRETO SUPREMO N° 0</w:t>
      </w:r>
      <w:r w:rsidR="004C2567" w:rsidRPr="006D369F">
        <w:rPr>
          <w:rFonts w:ascii="Arial" w:hAnsi="Arial" w:cs="Arial"/>
          <w:b/>
        </w:rPr>
        <w:t>33</w:t>
      </w:r>
      <w:r w:rsidRPr="006D369F">
        <w:rPr>
          <w:rFonts w:ascii="Arial" w:hAnsi="Arial" w:cs="Arial"/>
          <w:b/>
        </w:rPr>
        <w:t>-</w:t>
      </w:r>
      <w:r w:rsidR="004C2567" w:rsidRPr="006D369F">
        <w:rPr>
          <w:rFonts w:ascii="Arial" w:hAnsi="Arial" w:cs="Arial"/>
          <w:b/>
        </w:rPr>
        <w:t>2005</w:t>
      </w:r>
      <w:r w:rsidRPr="006D369F">
        <w:rPr>
          <w:rFonts w:ascii="Arial" w:hAnsi="Arial" w:cs="Arial"/>
          <w:b/>
        </w:rPr>
        <w:t>-EM</w:t>
      </w:r>
    </w:p>
    <w:p w:rsidR="00866346" w:rsidRPr="006D369F" w:rsidRDefault="00866346" w:rsidP="00866346">
      <w:pPr>
        <w:widowControl w:val="0"/>
        <w:autoSpaceDE w:val="0"/>
        <w:autoSpaceDN w:val="0"/>
        <w:adjustRightInd w:val="0"/>
        <w:spacing w:after="0" w:line="240" w:lineRule="auto"/>
        <w:ind w:right="-1" w:firstLine="708"/>
        <w:jc w:val="center"/>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708"/>
        <w:rPr>
          <w:rFonts w:ascii="Arial" w:hAnsi="Arial" w:cs="Arial"/>
          <w:b/>
        </w:rPr>
      </w:pPr>
      <w:r w:rsidRPr="006D369F">
        <w:rPr>
          <w:rFonts w:ascii="Arial" w:hAnsi="Arial" w:cs="Arial"/>
          <w:b/>
        </w:rPr>
        <w:t>EL</w:t>
      </w:r>
      <w:r w:rsidRPr="006D369F">
        <w:rPr>
          <w:rFonts w:ascii="Arial" w:hAnsi="Arial" w:cs="Arial"/>
          <w:b/>
          <w:spacing w:val="-9"/>
        </w:rPr>
        <w:t xml:space="preserve"> </w:t>
      </w:r>
      <w:r w:rsidRPr="006D369F">
        <w:rPr>
          <w:rFonts w:ascii="Arial" w:hAnsi="Arial" w:cs="Arial"/>
          <w:b/>
        </w:rPr>
        <w:t>PRESIDENTE</w:t>
      </w:r>
      <w:r w:rsidRPr="006D369F">
        <w:rPr>
          <w:rFonts w:ascii="Arial" w:hAnsi="Arial" w:cs="Arial"/>
          <w:b/>
          <w:spacing w:val="-6"/>
        </w:rPr>
        <w:t xml:space="preserve"> </w:t>
      </w:r>
      <w:r w:rsidRPr="006D369F">
        <w:rPr>
          <w:rFonts w:ascii="Arial" w:hAnsi="Arial" w:cs="Arial"/>
          <w:b/>
        </w:rPr>
        <w:t>DE</w:t>
      </w:r>
      <w:r w:rsidRPr="006D369F">
        <w:rPr>
          <w:rFonts w:ascii="Arial" w:hAnsi="Arial" w:cs="Arial"/>
          <w:b/>
          <w:spacing w:val="-7"/>
        </w:rPr>
        <w:t xml:space="preserve"> </w:t>
      </w:r>
      <w:r w:rsidRPr="006D369F">
        <w:rPr>
          <w:rFonts w:ascii="Arial" w:hAnsi="Arial" w:cs="Arial"/>
          <w:b/>
        </w:rPr>
        <w:t>LA</w:t>
      </w:r>
      <w:r w:rsidRPr="006D369F">
        <w:rPr>
          <w:rFonts w:ascii="Arial" w:hAnsi="Arial" w:cs="Arial"/>
          <w:b/>
          <w:spacing w:val="1"/>
        </w:rPr>
        <w:t xml:space="preserve"> </w:t>
      </w:r>
      <w:r w:rsidRPr="006D369F">
        <w:rPr>
          <w:rFonts w:ascii="Arial" w:hAnsi="Arial" w:cs="Arial"/>
          <w:b/>
        </w:rPr>
        <w:t xml:space="preserve">REPÚBLICA </w:t>
      </w:r>
    </w:p>
    <w:p w:rsidR="00866346" w:rsidRPr="006D369F" w:rsidRDefault="00866346" w:rsidP="00866346">
      <w:pPr>
        <w:widowControl w:val="0"/>
        <w:autoSpaceDE w:val="0"/>
        <w:autoSpaceDN w:val="0"/>
        <w:adjustRightInd w:val="0"/>
        <w:spacing w:after="0" w:line="240" w:lineRule="auto"/>
        <w:ind w:right="-1"/>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708"/>
        <w:rPr>
          <w:rFonts w:ascii="Arial" w:hAnsi="Arial" w:cs="Arial"/>
          <w:b/>
        </w:rPr>
      </w:pPr>
      <w:r w:rsidRPr="006D369F">
        <w:rPr>
          <w:rFonts w:ascii="Arial" w:hAnsi="Arial" w:cs="Arial"/>
          <w:b/>
        </w:rPr>
        <w:t>CONSIDERANDO:</w:t>
      </w:r>
    </w:p>
    <w:p w:rsidR="00866346" w:rsidRPr="006D369F" w:rsidRDefault="00866346" w:rsidP="00866346">
      <w:pPr>
        <w:widowControl w:val="0"/>
        <w:autoSpaceDE w:val="0"/>
        <w:autoSpaceDN w:val="0"/>
        <w:adjustRightInd w:val="0"/>
        <w:spacing w:after="0" w:line="240" w:lineRule="auto"/>
        <w:ind w:right="-1"/>
        <w:rPr>
          <w:rFonts w:ascii="Arial" w:hAnsi="Arial" w:cs="Arial"/>
        </w:rPr>
      </w:pPr>
    </w:p>
    <w:p w:rsidR="008259E8" w:rsidRPr="006D369F" w:rsidRDefault="008259E8" w:rsidP="008259E8">
      <w:pPr>
        <w:widowControl w:val="0"/>
        <w:autoSpaceDE w:val="0"/>
        <w:autoSpaceDN w:val="0"/>
        <w:adjustRightInd w:val="0"/>
        <w:spacing w:after="0" w:line="240" w:lineRule="auto"/>
        <w:ind w:right="-1" w:firstLine="667"/>
        <w:jc w:val="both"/>
        <w:rPr>
          <w:rFonts w:ascii="Arial" w:hAnsi="Arial" w:cs="Arial"/>
        </w:rPr>
      </w:pPr>
      <w:r w:rsidRPr="006D369F">
        <w:rPr>
          <w:rFonts w:ascii="Arial" w:hAnsi="Arial" w:cs="Arial"/>
        </w:rPr>
        <w:t>Que, la Ley Nº 28090, Ley que Regula el Cierre de Minas, estable</w:t>
      </w:r>
      <w:r w:rsidR="00E462C7" w:rsidRPr="006D369F">
        <w:rPr>
          <w:rFonts w:ascii="Arial" w:hAnsi="Arial" w:cs="Arial"/>
        </w:rPr>
        <w:t xml:space="preserve">ce las </w:t>
      </w:r>
      <w:r w:rsidRPr="006D369F">
        <w:rPr>
          <w:rFonts w:ascii="Arial" w:hAnsi="Arial" w:cs="Arial"/>
        </w:rPr>
        <w:t xml:space="preserve"> obligaciones y procedimientos que deben cumplir los titulares de la actividad minera para la elaboración, presentación e implementación del Plan de Cierre de Minas y la constitución de las garantías ambientales correspondientes, que aseguren el cumplimiento de las inversiones que comprende, con sujeción a los principios de protección, preservación y recuperación del medio ambiente y con la finalidad de mitigar los impactos negativos a la salud de la población, el ecosistema circundante y la propiedad;</w:t>
      </w:r>
    </w:p>
    <w:p w:rsidR="008259E8" w:rsidRDefault="008259E8" w:rsidP="006D369F">
      <w:pPr>
        <w:widowControl w:val="0"/>
        <w:autoSpaceDE w:val="0"/>
        <w:autoSpaceDN w:val="0"/>
        <w:adjustRightInd w:val="0"/>
        <w:spacing w:after="0" w:line="240" w:lineRule="auto"/>
        <w:ind w:right="-1" w:firstLine="667"/>
        <w:jc w:val="both"/>
        <w:rPr>
          <w:rFonts w:ascii="Arial" w:hAnsi="Arial" w:cs="Arial"/>
        </w:rPr>
      </w:pPr>
    </w:p>
    <w:p w:rsidR="009669F1" w:rsidRDefault="009669F1" w:rsidP="006D369F">
      <w:pPr>
        <w:widowControl w:val="0"/>
        <w:autoSpaceDE w:val="0"/>
        <w:autoSpaceDN w:val="0"/>
        <w:adjustRightInd w:val="0"/>
        <w:spacing w:after="0" w:line="240" w:lineRule="auto"/>
        <w:ind w:right="-1" w:firstLine="667"/>
        <w:jc w:val="both"/>
        <w:rPr>
          <w:rFonts w:ascii="Arial" w:hAnsi="Arial" w:cs="Arial"/>
        </w:rPr>
      </w:pPr>
      <w:r>
        <w:rPr>
          <w:rFonts w:ascii="Arial" w:hAnsi="Arial" w:cs="Arial"/>
        </w:rPr>
        <w:t>Que, el artículo 20 del</w:t>
      </w:r>
      <w:r w:rsidRPr="009669F1">
        <w:rPr>
          <w:rFonts w:ascii="Arial" w:hAnsi="Arial" w:cs="Arial"/>
        </w:rPr>
        <w:t xml:space="preserve"> </w:t>
      </w:r>
      <w:r w:rsidRPr="006D369F">
        <w:rPr>
          <w:rFonts w:ascii="Arial" w:hAnsi="Arial" w:cs="Arial"/>
        </w:rPr>
        <w:t>Reglamento para el Cierre de Minas aprobado por Decreto Supremo N° 033-2005-EM,</w:t>
      </w:r>
      <w:r>
        <w:rPr>
          <w:rFonts w:ascii="Arial" w:hAnsi="Arial" w:cs="Arial"/>
        </w:rPr>
        <w:t xml:space="preserve"> en adelante el Reglamento, </w:t>
      </w:r>
      <w:r w:rsidR="00C855F5">
        <w:rPr>
          <w:rFonts w:ascii="Arial" w:hAnsi="Arial" w:cs="Arial"/>
        </w:rPr>
        <w:t>estable</w:t>
      </w:r>
      <w:r w:rsidR="0053251A">
        <w:rPr>
          <w:rFonts w:ascii="Arial" w:hAnsi="Arial" w:cs="Arial"/>
        </w:rPr>
        <w:t>ce</w:t>
      </w:r>
      <w:r w:rsidR="00C855F5">
        <w:rPr>
          <w:rFonts w:ascii="Arial" w:hAnsi="Arial" w:cs="Arial"/>
        </w:rPr>
        <w:t xml:space="preserve"> los supuestos y el plazo para la realización de la revisión y modificación del Plan de Cierre de Minas</w:t>
      </w:r>
      <w:r w:rsidR="0053251A">
        <w:rPr>
          <w:rFonts w:ascii="Arial" w:hAnsi="Arial" w:cs="Arial"/>
        </w:rPr>
        <w:t>;</w:t>
      </w:r>
    </w:p>
    <w:p w:rsidR="00686C96" w:rsidRDefault="00686C96" w:rsidP="006D369F">
      <w:pPr>
        <w:widowControl w:val="0"/>
        <w:autoSpaceDE w:val="0"/>
        <w:autoSpaceDN w:val="0"/>
        <w:adjustRightInd w:val="0"/>
        <w:spacing w:after="0" w:line="240" w:lineRule="auto"/>
        <w:ind w:right="-1" w:firstLine="667"/>
        <w:jc w:val="both"/>
        <w:rPr>
          <w:rFonts w:ascii="Arial" w:hAnsi="Arial" w:cs="Arial"/>
        </w:rPr>
      </w:pPr>
    </w:p>
    <w:p w:rsidR="002E78EC" w:rsidRDefault="00686C96" w:rsidP="006D369F">
      <w:pPr>
        <w:widowControl w:val="0"/>
        <w:autoSpaceDE w:val="0"/>
        <w:autoSpaceDN w:val="0"/>
        <w:adjustRightInd w:val="0"/>
        <w:spacing w:after="0" w:line="240" w:lineRule="auto"/>
        <w:ind w:right="-1" w:firstLine="667"/>
        <w:jc w:val="both"/>
        <w:rPr>
          <w:rFonts w:ascii="Arial" w:hAnsi="Arial" w:cs="Arial"/>
        </w:rPr>
      </w:pPr>
      <w:r>
        <w:rPr>
          <w:rFonts w:ascii="Arial" w:hAnsi="Arial" w:cs="Arial"/>
        </w:rPr>
        <w:t xml:space="preserve">Que, </w:t>
      </w:r>
      <w:r w:rsidR="00865AD9">
        <w:rPr>
          <w:rFonts w:ascii="Arial" w:hAnsi="Arial" w:cs="Arial"/>
        </w:rPr>
        <w:t xml:space="preserve">en </w:t>
      </w:r>
      <w:r w:rsidR="002420B8">
        <w:rPr>
          <w:rFonts w:ascii="Arial" w:hAnsi="Arial" w:cs="Arial"/>
        </w:rPr>
        <w:t xml:space="preserve">los últimos tres años </w:t>
      </w:r>
      <w:r w:rsidR="00865AD9">
        <w:rPr>
          <w:rFonts w:ascii="Arial" w:hAnsi="Arial" w:cs="Arial"/>
        </w:rPr>
        <w:t>se ha verificado</w:t>
      </w:r>
      <w:r w:rsidR="002420B8">
        <w:rPr>
          <w:rFonts w:ascii="Arial" w:hAnsi="Arial" w:cs="Arial"/>
        </w:rPr>
        <w:t xml:space="preserve"> que</w:t>
      </w:r>
      <w:r w:rsidR="002E78EC">
        <w:rPr>
          <w:rFonts w:ascii="Arial" w:hAnsi="Arial" w:cs="Arial"/>
        </w:rPr>
        <w:t xml:space="preserve"> un alto porcentaje de</w:t>
      </w:r>
      <w:r w:rsidR="00E0421E">
        <w:rPr>
          <w:rFonts w:ascii="Arial" w:hAnsi="Arial" w:cs="Arial"/>
        </w:rPr>
        <w:t xml:space="preserve"> titulares de actividad minera realizan </w:t>
      </w:r>
      <w:r w:rsidR="002420B8">
        <w:rPr>
          <w:rFonts w:ascii="Arial" w:hAnsi="Arial" w:cs="Arial"/>
        </w:rPr>
        <w:t xml:space="preserve">la modificación </w:t>
      </w:r>
      <w:r w:rsidR="00E0421E">
        <w:rPr>
          <w:rFonts w:ascii="Arial" w:hAnsi="Arial" w:cs="Arial"/>
        </w:rPr>
        <w:t xml:space="preserve">de los planes de cierre antes del vencimiento del plazo previsto para </w:t>
      </w:r>
      <w:r w:rsidR="002E78EC">
        <w:rPr>
          <w:rFonts w:ascii="Arial" w:hAnsi="Arial" w:cs="Arial"/>
        </w:rPr>
        <w:t xml:space="preserve">llevar a cabo la actualización </w:t>
      </w:r>
      <w:r w:rsidR="00EC7BFF">
        <w:rPr>
          <w:rFonts w:ascii="Arial" w:hAnsi="Arial" w:cs="Arial"/>
        </w:rPr>
        <w:t>conforme a l</w:t>
      </w:r>
      <w:r w:rsidR="002E78EC">
        <w:rPr>
          <w:rFonts w:ascii="Arial" w:hAnsi="Arial" w:cs="Arial"/>
        </w:rPr>
        <w:t>o establecido</w:t>
      </w:r>
      <w:r w:rsidR="00E0421E">
        <w:rPr>
          <w:rFonts w:ascii="Arial" w:hAnsi="Arial" w:cs="Arial"/>
        </w:rPr>
        <w:t xml:space="preserve"> en el Reglamento.</w:t>
      </w:r>
    </w:p>
    <w:p w:rsidR="002E78EC" w:rsidRDefault="002E78EC" w:rsidP="006D369F">
      <w:pPr>
        <w:widowControl w:val="0"/>
        <w:autoSpaceDE w:val="0"/>
        <w:autoSpaceDN w:val="0"/>
        <w:adjustRightInd w:val="0"/>
        <w:spacing w:after="0" w:line="240" w:lineRule="auto"/>
        <w:ind w:right="-1" w:firstLine="667"/>
        <w:jc w:val="both"/>
        <w:rPr>
          <w:rFonts w:ascii="Arial" w:hAnsi="Arial" w:cs="Arial"/>
        </w:rPr>
      </w:pPr>
    </w:p>
    <w:p w:rsidR="00686C96" w:rsidRDefault="002E78EC" w:rsidP="00EC7BFF">
      <w:pPr>
        <w:widowControl w:val="0"/>
        <w:autoSpaceDE w:val="0"/>
        <w:autoSpaceDN w:val="0"/>
        <w:adjustRightInd w:val="0"/>
        <w:spacing w:after="0" w:line="240" w:lineRule="auto"/>
        <w:ind w:right="-1" w:firstLine="667"/>
        <w:jc w:val="both"/>
        <w:rPr>
          <w:rFonts w:ascii="Arial" w:hAnsi="Arial" w:cs="Arial"/>
        </w:rPr>
      </w:pPr>
      <w:r>
        <w:rPr>
          <w:rFonts w:ascii="Arial" w:hAnsi="Arial" w:cs="Arial"/>
        </w:rPr>
        <w:t xml:space="preserve">Que, </w:t>
      </w:r>
      <w:r w:rsidR="00165490">
        <w:rPr>
          <w:rFonts w:ascii="Arial" w:hAnsi="Arial" w:cs="Arial"/>
        </w:rPr>
        <w:t xml:space="preserve">a efectos de </w:t>
      </w:r>
      <w:r>
        <w:rPr>
          <w:rFonts w:ascii="Arial" w:hAnsi="Arial" w:cs="Arial"/>
        </w:rPr>
        <w:t>l</w:t>
      </w:r>
      <w:r w:rsidR="00165490">
        <w:rPr>
          <w:rFonts w:ascii="Arial" w:hAnsi="Arial" w:cs="Arial"/>
        </w:rPr>
        <w:t>a modificación del</w:t>
      </w:r>
      <w:r>
        <w:rPr>
          <w:rFonts w:ascii="Arial" w:hAnsi="Arial" w:cs="Arial"/>
        </w:rPr>
        <w:t xml:space="preserve"> plan de cierre </w:t>
      </w:r>
      <w:r w:rsidR="00165490">
        <w:rPr>
          <w:rFonts w:ascii="Arial" w:hAnsi="Arial" w:cs="Arial"/>
        </w:rPr>
        <w:t>de minas</w:t>
      </w:r>
      <w:r w:rsidR="00865AD9">
        <w:rPr>
          <w:rFonts w:ascii="Arial" w:hAnsi="Arial" w:cs="Arial"/>
        </w:rPr>
        <w:t xml:space="preserve"> </w:t>
      </w:r>
      <w:r w:rsidR="008907B9">
        <w:rPr>
          <w:rFonts w:ascii="Arial" w:hAnsi="Arial" w:cs="Arial"/>
        </w:rPr>
        <w:t>se revisa y actualiza el sustento técnico considerado para la aprobación del citado plan</w:t>
      </w:r>
      <w:r w:rsidR="00EC7BFF">
        <w:rPr>
          <w:rFonts w:ascii="Arial" w:hAnsi="Arial" w:cs="Arial"/>
        </w:rPr>
        <w:t>, por lo que resulta necesario precisar que no se requiere actualización si el titular de actividad minera realizó una modificación;</w:t>
      </w:r>
    </w:p>
    <w:p w:rsidR="00C855F5" w:rsidRPr="006D369F" w:rsidRDefault="00C855F5" w:rsidP="006D369F">
      <w:pPr>
        <w:widowControl w:val="0"/>
        <w:autoSpaceDE w:val="0"/>
        <w:autoSpaceDN w:val="0"/>
        <w:adjustRightInd w:val="0"/>
        <w:spacing w:after="0" w:line="240" w:lineRule="auto"/>
        <w:ind w:right="-1" w:firstLine="667"/>
        <w:jc w:val="both"/>
        <w:rPr>
          <w:rFonts w:ascii="Arial" w:hAnsi="Arial" w:cs="Arial"/>
        </w:rPr>
      </w:pPr>
    </w:p>
    <w:p w:rsidR="00B57334" w:rsidRPr="006D369F" w:rsidRDefault="00866346" w:rsidP="006D369F">
      <w:pPr>
        <w:widowControl w:val="0"/>
        <w:autoSpaceDE w:val="0"/>
        <w:autoSpaceDN w:val="0"/>
        <w:adjustRightInd w:val="0"/>
        <w:spacing w:after="0" w:line="240" w:lineRule="auto"/>
        <w:ind w:right="-1" w:firstLine="667"/>
        <w:jc w:val="both"/>
        <w:divId w:val="905798478"/>
        <w:rPr>
          <w:rFonts w:ascii="Arial" w:hAnsi="Arial" w:cs="Arial"/>
        </w:rPr>
      </w:pPr>
      <w:r w:rsidRPr="006D369F">
        <w:rPr>
          <w:rFonts w:ascii="Arial" w:hAnsi="Arial" w:cs="Arial"/>
        </w:rPr>
        <w:t xml:space="preserve">Que, </w:t>
      </w:r>
      <w:r w:rsidR="001B782A">
        <w:rPr>
          <w:rFonts w:ascii="Arial" w:hAnsi="Arial" w:cs="Arial"/>
        </w:rPr>
        <w:t xml:space="preserve">por su parte, </w:t>
      </w:r>
      <w:r w:rsidR="005E78A6" w:rsidRPr="006D369F">
        <w:rPr>
          <w:rFonts w:ascii="Arial" w:hAnsi="Arial" w:cs="Arial"/>
        </w:rPr>
        <w:t xml:space="preserve">el </w:t>
      </w:r>
      <w:r w:rsidR="00B57334" w:rsidRPr="006D369F">
        <w:rPr>
          <w:rFonts w:ascii="Arial" w:hAnsi="Arial" w:cs="Arial"/>
        </w:rPr>
        <w:t xml:space="preserve">artículo 46 del </w:t>
      </w:r>
      <w:r w:rsidR="0066735D" w:rsidRPr="006D369F">
        <w:rPr>
          <w:rFonts w:ascii="Arial" w:hAnsi="Arial" w:cs="Arial"/>
        </w:rPr>
        <w:t xml:space="preserve">Reglamento </w:t>
      </w:r>
      <w:r w:rsidR="00877878" w:rsidRPr="006D369F">
        <w:rPr>
          <w:rFonts w:ascii="Arial" w:hAnsi="Arial" w:cs="Arial"/>
        </w:rPr>
        <w:t xml:space="preserve">dispone que el titular </w:t>
      </w:r>
      <w:r w:rsidR="00B57334" w:rsidRPr="006D369F">
        <w:rPr>
          <w:rFonts w:ascii="Arial" w:hAnsi="Arial" w:cs="Arial"/>
        </w:rPr>
        <w:t>de actividad minera constitu</w:t>
      </w:r>
      <w:r w:rsidR="003D626F">
        <w:rPr>
          <w:rFonts w:ascii="Arial" w:hAnsi="Arial" w:cs="Arial"/>
        </w:rPr>
        <w:t>ye</w:t>
      </w:r>
      <w:r w:rsidR="00B57334" w:rsidRPr="006D369F">
        <w:rPr>
          <w:rFonts w:ascii="Arial" w:hAnsi="Arial" w:cs="Arial"/>
        </w:rPr>
        <w:t xml:space="preserve"> garantías de importe suficiente y realización oportuna para el cumplimiento </w:t>
      </w:r>
      <w:r w:rsidR="00C702EB" w:rsidRPr="006D369F">
        <w:rPr>
          <w:rFonts w:ascii="Arial" w:hAnsi="Arial" w:cs="Arial"/>
        </w:rPr>
        <w:t xml:space="preserve">del Plan de Cierre de Minas, </w:t>
      </w:r>
      <w:r w:rsidR="00B57334" w:rsidRPr="006D369F">
        <w:rPr>
          <w:rFonts w:ascii="Arial" w:hAnsi="Arial" w:cs="Arial"/>
        </w:rPr>
        <w:t xml:space="preserve">en la forma, valor y oportunidades que apruebe la autoridad competente en base </w:t>
      </w:r>
      <w:r w:rsidR="00C702EB" w:rsidRPr="006D369F">
        <w:rPr>
          <w:rFonts w:ascii="Arial" w:hAnsi="Arial" w:cs="Arial"/>
        </w:rPr>
        <w:t xml:space="preserve">a lo establecido en el citado </w:t>
      </w:r>
      <w:r w:rsidR="00B57334" w:rsidRPr="006D369F">
        <w:rPr>
          <w:rFonts w:ascii="Arial" w:hAnsi="Arial" w:cs="Arial"/>
        </w:rPr>
        <w:t>Reglamento y otras normas específicas q</w:t>
      </w:r>
      <w:r w:rsidR="00C702EB" w:rsidRPr="006D369F">
        <w:rPr>
          <w:rFonts w:ascii="Arial" w:hAnsi="Arial" w:cs="Arial"/>
        </w:rPr>
        <w:t>ue se dictaren para este efecto;</w:t>
      </w:r>
    </w:p>
    <w:p w:rsidR="005E78A6" w:rsidRPr="006D369F" w:rsidRDefault="005E78A6" w:rsidP="006D369F">
      <w:pPr>
        <w:autoSpaceDE w:val="0"/>
        <w:autoSpaceDN w:val="0"/>
        <w:adjustRightInd w:val="0"/>
        <w:spacing w:after="0" w:line="240" w:lineRule="auto"/>
        <w:jc w:val="both"/>
        <w:rPr>
          <w:rFonts w:ascii="Arial" w:hAnsi="Arial" w:cs="Arial"/>
        </w:rPr>
      </w:pPr>
    </w:p>
    <w:p w:rsidR="008259E8" w:rsidRPr="006D369F" w:rsidRDefault="00C702EB" w:rsidP="00C702EB">
      <w:pPr>
        <w:autoSpaceDE w:val="0"/>
        <w:autoSpaceDN w:val="0"/>
        <w:adjustRightInd w:val="0"/>
        <w:spacing w:after="0" w:line="240" w:lineRule="auto"/>
        <w:ind w:firstLine="667"/>
        <w:jc w:val="both"/>
        <w:rPr>
          <w:rFonts w:ascii="Arial" w:hAnsi="Arial" w:cs="Arial"/>
        </w:rPr>
      </w:pPr>
      <w:r w:rsidRPr="006D369F">
        <w:rPr>
          <w:rFonts w:ascii="Arial" w:hAnsi="Arial" w:cs="Arial"/>
        </w:rPr>
        <w:t xml:space="preserve">Que, </w:t>
      </w:r>
      <w:r w:rsidR="00866346" w:rsidRPr="006D369F">
        <w:rPr>
          <w:rFonts w:ascii="Arial" w:hAnsi="Arial" w:cs="Arial"/>
        </w:rPr>
        <w:t>el</w:t>
      </w:r>
      <w:r w:rsidR="008259E8" w:rsidRPr="006D369F">
        <w:rPr>
          <w:rFonts w:ascii="Arial" w:hAnsi="Arial" w:cs="Arial"/>
        </w:rPr>
        <w:t xml:space="preserve"> artículo 50 del </w:t>
      </w:r>
      <w:r w:rsidRPr="006D369F">
        <w:rPr>
          <w:rFonts w:ascii="Arial" w:hAnsi="Arial" w:cs="Arial"/>
        </w:rPr>
        <w:t xml:space="preserve">referido </w:t>
      </w:r>
      <w:r w:rsidR="00263A47" w:rsidRPr="006D369F">
        <w:rPr>
          <w:rFonts w:ascii="Arial" w:hAnsi="Arial" w:cs="Arial"/>
        </w:rPr>
        <w:t>Reglamento</w:t>
      </w:r>
      <w:r w:rsidRPr="006D369F">
        <w:rPr>
          <w:rFonts w:ascii="Arial" w:hAnsi="Arial" w:cs="Arial"/>
        </w:rPr>
        <w:t xml:space="preserve"> establece </w:t>
      </w:r>
      <w:r w:rsidR="008259E8" w:rsidRPr="006D369F">
        <w:rPr>
          <w:rFonts w:ascii="Arial" w:hAnsi="Arial" w:cs="Arial"/>
        </w:rPr>
        <w:t>que l</w:t>
      </w:r>
      <w:r w:rsidR="008259E8" w:rsidRPr="006D369F">
        <w:rPr>
          <w:rFonts w:ascii="Arial" w:eastAsiaTheme="minorHAnsi" w:hAnsi="Arial" w:cs="Arial"/>
        </w:rPr>
        <w:t>a garantía ambiental que asegure el cumplimiento de ejecución del cierre, se constitu</w:t>
      </w:r>
      <w:r w:rsidR="001B782A">
        <w:rPr>
          <w:rFonts w:ascii="Arial" w:eastAsiaTheme="minorHAnsi" w:hAnsi="Arial" w:cs="Arial"/>
        </w:rPr>
        <w:t>ye</w:t>
      </w:r>
      <w:r w:rsidR="008259E8" w:rsidRPr="006D369F">
        <w:rPr>
          <w:rFonts w:ascii="Arial" w:eastAsiaTheme="minorHAnsi" w:hAnsi="Arial" w:cs="Arial"/>
        </w:rPr>
        <w:t xml:space="preserve"> a partir del año siguiente a la fecha de aprobación o modificación del Plan de Cierre de Minas, dentro de los primeros doce días hábiles de cada año</w:t>
      </w:r>
      <w:r w:rsidR="009B08F2">
        <w:rPr>
          <w:rFonts w:ascii="Arial" w:eastAsiaTheme="minorHAnsi" w:hAnsi="Arial" w:cs="Arial"/>
        </w:rPr>
        <w:t>, mientras que,</w:t>
      </w:r>
      <w:r w:rsidR="009B08F2" w:rsidRPr="009B08F2">
        <w:rPr>
          <w:rFonts w:ascii="Arial" w:eastAsiaTheme="minorHAnsi" w:hAnsi="Arial" w:cs="Arial"/>
        </w:rPr>
        <w:t xml:space="preserve"> el artículo 51 regula lo referido al cálculo del monto de la garantía</w:t>
      </w:r>
      <w:r w:rsidR="008259E8" w:rsidRPr="006D369F">
        <w:rPr>
          <w:rFonts w:ascii="Arial" w:eastAsiaTheme="minorHAnsi" w:hAnsi="Arial" w:cs="Arial"/>
        </w:rPr>
        <w:t>;</w:t>
      </w:r>
    </w:p>
    <w:p w:rsidR="008259E8" w:rsidRPr="006D369F" w:rsidRDefault="008259E8" w:rsidP="008259E8">
      <w:pPr>
        <w:pStyle w:val="Default"/>
        <w:ind w:firstLine="667"/>
        <w:jc w:val="both"/>
        <w:rPr>
          <w:sz w:val="22"/>
          <w:szCs w:val="22"/>
        </w:rPr>
      </w:pPr>
    </w:p>
    <w:p w:rsidR="000F4DA0" w:rsidRPr="006D369F" w:rsidRDefault="00866346" w:rsidP="000F76C4">
      <w:pPr>
        <w:pStyle w:val="Default"/>
        <w:ind w:firstLine="667"/>
        <w:jc w:val="both"/>
        <w:rPr>
          <w:sz w:val="22"/>
          <w:szCs w:val="22"/>
        </w:rPr>
      </w:pPr>
      <w:r w:rsidRPr="006D369F">
        <w:rPr>
          <w:sz w:val="22"/>
          <w:szCs w:val="22"/>
        </w:rPr>
        <w:t>Que,</w:t>
      </w:r>
      <w:r w:rsidR="00D27161" w:rsidRPr="006D369F">
        <w:rPr>
          <w:sz w:val="22"/>
          <w:szCs w:val="22"/>
        </w:rPr>
        <w:t xml:space="preserve"> para la ejecución del Plan de Cierre de Minas se requiere contar previamente con la autorización para el inicio de la actividad a realizar, siendo que en </w:t>
      </w:r>
      <w:r w:rsidR="00D27161" w:rsidRPr="006D369F">
        <w:rPr>
          <w:sz w:val="22"/>
          <w:szCs w:val="22"/>
        </w:rPr>
        <w:lastRenderedPageBreak/>
        <w:t xml:space="preserve">la </w:t>
      </w:r>
      <w:r w:rsidR="006B00A4" w:rsidRPr="006D369F">
        <w:rPr>
          <w:sz w:val="22"/>
          <w:szCs w:val="22"/>
        </w:rPr>
        <w:t xml:space="preserve">mayoría de los casos, </w:t>
      </w:r>
      <w:r w:rsidR="00D27161" w:rsidRPr="006D369F">
        <w:rPr>
          <w:sz w:val="22"/>
          <w:szCs w:val="22"/>
        </w:rPr>
        <w:t>la referida autorización se</w:t>
      </w:r>
      <w:r w:rsidR="006B00A4" w:rsidRPr="006D369F">
        <w:rPr>
          <w:sz w:val="22"/>
          <w:szCs w:val="22"/>
        </w:rPr>
        <w:t xml:space="preserve"> otorga hasta doce meses después de haberse aprobado el Plan de Cierre de Minas o </w:t>
      </w:r>
      <w:r w:rsidR="000F76C4" w:rsidRPr="006D369F">
        <w:rPr>
          <w:sz w:val="22"/>
          <w:szCs w:val="22"/>
        </w:rPr>
        <w:t>su modificación</w:t>
      </w:r>
      <w:r w:rsidR="000F4DA0" w:rsidRPr="006D369F">
        <w:rPr>
          <w:sz w:val="22"/>
          <w:szCs w:val="22"/>
        </w:rPr>
        <w:t>;</w:t>
      </w:r>
    </w:p>
    <w:p w:rsidR="000F4DA0" w:rsidRPr="006D369F" w:rsidRDefault="000F4DA0" w:rsidP="000F76C4">
      <w:pPr>
        <w:pStyle w:val="Default"/>
        <w:ind w:firstLine="667"/>
        <w:jc w:val="both"/>
        <w:rPr>
          <w:sz w:val="22"/>
          <w:szCs w:val="22"/>
        </w:rPr>
      </w:pPr>
    </w:p>
    <w:p w:rsidR="006B00A4" w:rsidRPr="006D369F" w:rsidRDefault="000F4DA0" w:rsidP="000F4DA0">
      <w:pPr>
        <w:pStyle w:val="Default"/>
        <w:ind w:firstLine="667"/>
        <w:jc w:val="both"/>
        <w:rPr>
          <w:sz w:val="22"/>
          <w:szCs w:val="22"/>
        </w:rPr>
      </w:pPr>
      <w:r w:rsidRPr="006D369F">
        <w:rPr>
          <w:sz w:val="22"/>
          <w:szCs w:val="22"/>
        </w:rPr>
        <w:t xml:space="preserve">Que, </w:t>
      </w:r>
      <w:r w:rsidR="000F76C4" w:rsidRPr="006D369F">
        <w:rPr>
          <w:sz w:val="22"/>
          <w:szCs w:val="22"/>
        </w:rPr>
        <w:t>durante</w:t>
      </w:r>
      <w:r w:rsidRPr="006D369F">
        <w:rPr>
          <w:sz w:val="22"/>
          <w:szCs w:val="22"/>
        </w:rPr>
        <w:t xml:space="preserve"> dicho periodo,</w:t>
      </w:r>
      <w:r w:rsidR="000F76C4" w:rsidRPr="006D369F">
        <w:rPr>
          <w:sz w:val="22"/>
          <w:szCs w:val="22"/>
        </w:rPr>
        <w:t xml:space="preserve"> a pesar de no existir riesgo amb</w:t>
      </w:r>
      <w:r w:rsidR="003D626F">
        <w:rPr>
          <w:sz w:val="22"/>
          <w:szCs w:val="22"/>
        </w:rPr>
        <w:t>iental al no ejecutarse ninguna</w:t>
      </w:r>
      <w:r w:rsidR="000F76C4" w:rsidRPr="006D369F">
        <w:rPr>
          <w:sz w:val="22"/>
          <w:szCs w:val="22"/>
        </w:rPr>
        <w:t xml:space="preserve"> obra vinculada con el Plan de Cierre de Minas, se obliga al </w:t>
      </w:r>
      <w:r w:rsidRPr="006D369F">
        <w:rPr>
          <w:sz w:val="22"/>
          <w:szCs w:val="22"/>
        </w:rPr>
        <w:t xml:space="preserve">titular de actividad minera a mantener vigente la garantía, </w:t>
      </w:r>
      <w:r w:rsidR="001706E1" w:rsidRPr="006D369F">
        <w:rPr>
          <w:sz w:val="22"/>
          <w:szCs w:val="22"/>
        </w:rPr>
        <w:t>lo cual no resulta eficiente p</w:t>
      </w:r>
      <w:r w:rsidR="00D8747C" w:rsidRPr="006D369F">
        <w:rPr>
          <w:sz w:val="22"/>
          <w:szCs w:val="22"/>
        </w:rPr>
        <w:t>ara la finalidad que persigue su</w:t>
      </w:r>
      <w:r w:rsidR="001706E1" w:rsidRPr="006D369F">
        <w:rPr>
          <w:sz w:val="22"/>
          <w:szCs w:val="22"/>
        </w:rPr>
        <w:t xml:space="preserve"> </w:t>
      </w:r>
      <w:r w:rsidR="00D8747C" w:rsidRPr="006D369F">
        <w:rPr>
          <w:sz w:val="22"/>
          <w:szCs w:val="22"/>
        </w:rPr>
        <w:t>constitución</w:t>
      </w:r>
      <w:r w:rsidRPr="006D369F">
        <w:rPr>
          <w:sz w:val="22"/>
          <w:szCs w:val="22"/>
        </w:rPr>
        <w:t>;</w:t>
      </w:r>
    </w:p>
    <w:p w:rsidR="000F4DA0" w:rsidRPr="006D369F" w:rsidRDefault="000F4DA0" w:rsidP="000F4DA0">
      <w:pPr>
        <w:pStyle w:val="Default"/>
        <w:ind w:firstLine="667"/>
        <w:jc w:val="both"/>
        <w:rPr>
          <w:sz w:val="22"/>
          <w:szCs w:val="22"/>
        </w:rPr>
      </w:pPr>
    </w:p>
    <w:p w:rsidR="000F4DA0" w:rsidRPr="006D369F" w:rsidRDefault="000F4DA0" w:rsidP="000F4DA0">
      <w:pPr>
        <w:pStyle w:val="Default"/>
        <w:ind w:firstLine="667"/>
        <w:jc w:val="both"/>
        <w:rPr>
          <w:sz w:val="22"/>
          <w:szCs w:val="22"/>
        </w:rPr>
      </w:pPr>
      <w:r w:rsidRPr="006D369F">
        <w:rPr>
          <w:sz w:val="22"/>
          <w:szCs w:val="22"/>
        </w:rPr>
        <w:t xml:space="preserve">Que, </w:t>
      </w:r>
      <w:r w:rsidR="00925425" w:rsidRPr="006D369F">
        <w:rPr>
          <w:sz w:val="22"/>
          <w:szCs w:val="22"/>
        </w:rPr>
        <w:t xml:space="preserve">esta medida no resulta consistente </w:t>
      </w:r>
      <w:r w:rsidR="000310C8" w:rsidRPr="006D369F">
        <w:rPr>
          <w:sz w:val="22"/>
          <w:szCs w:val="22"/>
        </w:rPr>
        <w:t xml:space="preserve">con el </w:t>
      </w:r>
      <w:r w:rsidR="00D0072F">
        <w:rPr>
          <w:sz w:val="22"/>
          <w:szCs w:val="22"/>
        </w:rPr>
        <w:t>p</w:t>
      </w:r>
      <w:r w:rsidR="00925425" w:rsidRPr="006D369F">
        <w:rPr>
          <w:sz w:val="22"/>
          <w:szCs w:val="22"/>
        </w:rPr>
        <w:t>rincipio de razonabilidad previsto en el</w:t>
      </w:r>
      <w:r w:rsidR="005F3999" w:rsidRPr="006D369F">
        <w:rPr>
          <w:sz w:val="22"/>
          <w:szCs w:val="22"/>
        </w:rPr>
        <w:t xml:space="preserve"> numeral 1.4 del artículo IV del Título Preliminar del T</w:t>
      </w:r>
      <w:r w:rsidR="003D626F">
        <w:rPr>
          <w:sz w:val="22"/>
          <w:szCs w:val="22"/>
        </w:rPr>
        <w:t xml:space="preserve">exto Único </w:t>
      </w:r>
      <w:r w:rsidR="005F3999" w:rsidRPr="006D369F">
        <w:rPr>
          <w:sz w:val="22"/>
          <w:szCs w:val="22"/>
        </w:rPr>
        <w:t>O</w:t>
      </w:r>
      <w:r w:rsidR="003D626F">
        <w:rPr>
          <w:sz w:val="22"/>
          <w:szCs w:val="22"/>
        </w:rPr>
        <w:t>rdenado</w:t>
      </w:r>
      <w:r w:rsidR="005F3999" w:rsidRPr="006D369F">
        <w:rPr>
          <w:sz w:val="22"/>
          <w:szCs w:val="22"/>
        </w:rPr>
        <w:t xml:space="preserve"> de la Ley del Procedimiento Administrativo General, aprobado por Decreto Supremo N</w:t>
      </w:r>
      <w:r w:rsidR="007040A4">
        <w:rPr>
          <w:sz w:val="22"/>
          <w:szCs w:val="22"/>
        </w:rPr>
        <w:t>° </w:t>
      </w:r>
      <w:r w:rsidR="00C10434" w:rsidRPr="006D369F">
        <w:rPr>
          <w:sz w:val="22"/>
          <w:szCs w:val="22"/>
        </w:rPr>
        <w:t>006-2017-JUS, que establece que la</w:t>
      </w:r>
      <w:r w:rsidR="00925425" w:rsidRPr="006D369F">
        <w:rPr>
          <w:sz w:val="22"/>
          <w:szCs w:val="22"/>
        </w:rPr>
        <w:t xml:space="preserve">s decisiones de la autoridad administrativa, cuando creen obligaciones, califiquen infracciones, impongan sanciones, o establezcan restricciones a los administrados, deben adaptarse dentro de los </w:t>
      </w:r>
      <w:r w:rsidR="006D369F" w:rsidRPr="006D369F">
        <w:rPr>
          <w:sz w:val="22"/>
          <w:szCs w:val="22"/>
        </w:rPr>
        <w:t>límites</w:t>
      </w:r>
      <w:r w:rsidR="00925425" w:rsidRPr="006D369F">
        <w:rPr>
          <w:sz w:val="22"/>
          <w:szCs w:val="22"/>
        </w:rPr>
        <w:t xml:space="preserve"> de la facultad atribuida y manteniendo la debida </w:t>
      </w:r>
      <w:r w:rsidR="006D369F" w:rsidRPr="006D369F">
        <w:rPr>
          <w:sz w:val="22"/>
          <w:szCs w:val="22"/>
        </w:rPr>
        <w:t>proporción</w:t>
      </w:r>
      <w:r w:rsidR="00925425" w:rsidRPr="006D369F">
        <w:rPr>
          <w:sz w:val="22"/>
          <w:szCs w:val="22"/>
        </w:rPr>
        <w:t xml:space="preserve"> entre los medios a emplear y los fines </w:t>
      </w:r>
      <w:r w:rsidR="006D369F" w:rsidRPr="006D369F">
        <w:rPr>
          <w:sz w:val="22"/>
          <w:szCs w:val="22"/>
        </w:rPr>
        <w:t>públicos</w:t>
      </w:r>
      <w:r w:rsidR="00925425" w:rsidRPr="006D369F">
        <w:rPr>
          <w:sz w:val="22"/>
          <w:szCs w:val="22"/>
        </w:rPr>
        <w:t xml:space="preserve"> que deba tutelar, a fin de que respondan a lo estrictamente necesario para </w:t>
      </w:r>
      <w:r w:rsidR="00C10434" w:rsidRPr="006D369F">
        <w:rPr>
          <w:sz w:val="22"/>
          <w:szCs w:val="22"/>
        </w:rPr>
        <w:t xml:space="preserve">la </w:t>
      </w:r>
      <w:r w:rsidR="006D369F" w:rsidRPr="006D369F">
        <w:rPr>
          <w:sz w:val="22"/>
          <w:szCs w:val="22"/>
        </w:rPr>
        <w:t>satisfacción</w:t>
      </w:r>
      <w:r w:rsidR="00C10434" w:rsidRPr="006D369F">
        <w:rPr>
          <w:sz w:val="22"/>
          <w:szCs w:val="22"/>
        </w:rPr>
        <w:t xml:space="preserve"> de su cometido;</w:t>
      </w:r>
    </w:p>
    <w:p w:rsidR="00157001" w:rsidRPr="006D369F" w:rsidRDefault="00157001" w:rsidP="006D369F">
      <w:pPr>
        <w:pStyle w:val="Default"/>
        <w:jc w:val="both"/>
        <w:rPr>
          <w:sz w:val="22"/>
          <w:szCs w:val="22"/>
        </w:rPr>
      </w:pPr>
    </w:p>
    <w:p w:rsidR="00866346" w:rsidRPr="006D369F" w:rsidRDefault="00157001" w:rsidP="008259E8">
      <w:pPr>
        <w:pStyle w:val="Default"/>
        <w:ind w:firstLine="667"/>
        <w:jc w:val="both"/>
        <w:rPr>
          <w:sz w:val="22"/>
          <w:szCs w:val="22"/>
        </w:rPr>
      </w:pPr>
      <w:r w:rsidRPr="006D369F">
        <w:rPr>
          <w:sz w:val="22"/>
          <w:szCs w:val="22"/>
        </w:rPr>
        <w:t xml:space="preserve">Que, </w:t>
      </w:r>
      <w:r w:rsidR="00D7507F" w:rsidRPr="006D369F">
        <w:rPr>
          <w:sz w:val="22"/>
          <w:szCs w:val="22"/>
        </w:rPr>
        <w:t xml:space="preserve">considerando </w:t>
      </w:r>
      <w:r w:rsidR="00DA5CE5" w:rsidRPr="006D369F">
        <w:rPr>
          <w:sz w:val="22"/>
          <w:szCs w:val="22"/>
        </w:rPr>
        <w:t>que mientras aún no se ejecutan actividades</w:t>
      </w:r>
      <w:r w:rsidR="00942230">
        <w:rPr>
          <w:sz w:val="22"/>
          <w:szCs w:val="22"/>
        </w:rPr>
        <w:t>,</w:t>
      </w:r>
      <w:r w:rsidR="00DA5CE5" w:rsidRPr="006D369F">
        <w:rPr>
          <w:sz w:val="22"/>
          <w:szCs w:val="22"/>
        </w:rPr>
        <w:t xml:space="preserve"> no se generan impactos </w:t>
      </w:r>
      <w:r w:rsidR="00D7507F" w:rsidRPr="006D369F">
        <w:rPr>
          <w:sz w:val="22"/>
          <w:szCs w:val="22"/>
        </w:rPr>
        <w:t xml:space="preserve">de naturaleza alguna </w:t>
      </w:r>
      <w:r w:rsidR="00DA5CE5" w:rsidRPr="006D369F">
        <w:rPr>
          <w:sz w:val="22"/>
          <w:szCs w:val="22"/>
        </w:rPr>
        <w:t>en la zona del proyecto</w:t>
      </w:r>
      <w:r w:rsidRPr="006D369F">
        <w:rPr>
          <w:sz w:val="22"/>
          <w:szCs w:val="22"/>
        </w:rPr>
        <w:t xml:space="preserve">; </w:t>
      </w:r>
      <w:r w:rsidR="00866346" w:rsidRPr="006D369F">
        <w:rPr>
          <w:sz w:val="22"/>
          <w:szCs w:val="22"/>
        </w:rPr>
        <w:t>resulta necesario modificar los artículos 50 y 51 del Reglamento para el Cierre de Minas aprobado por el</w:t>
      </w:r>
      <w:r w:rsidR="001A33BE" w:rsidRPr="006D369F">
        <w:rPr>
          <w:sz w:val="22"/>
          <w:szCs w:val="22"/>
        </w:rPr>
        <w:t xml:space="preserve"> Decreto Supremo N° 033-2005-EM</w:t>
      </w:r>
      <w:r w:rsidRPr="006D369F">
        <w:rPr>
          <w:sz w:val="22"/>
          <w:szCs w:val="22"/>
        </w:rPr>
        <w:t xml:space="preserve"> a efectos de establecer que la garantía ambiental sea constituida cuando la autoridad competente autorice la construcción de la Concesión de Beneficio o autorice el inicio de actividades de explotación o exploración, de ser el caso</w:t>
      </w:r>
      <w:r w:rsidR="00866346" w:rsidRPr="006D369F">
        <w:rPr>
          <w:sz w:val="22"/>
          <w:szCs w:val="22"/>
        </w:rPr>
        <w:t>;</w:t>
      </w:r>
    </w:p>
    <w:p w:rsidR="00866346" w:rsidRPr="006D369F" w:rsidRDefault="00866346" w:rsidP="00866346">
      <w:pPr>
        <w:widowControl w:val="0"/>
        <w:autoSpaceDE w:val="0"/>
        <w:autoSpaceDN w:val="0"/>
        <w:adjustRightInd w:val="0"/>
        <w:spacing w:before="6" w:after="0" w:line="240" w:lineRule="auto"/>
        <w:ind w:right="-1"/>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667"/>
        <w:jc w:val="both"/>
        <w:rPr>
          <w:rFonts w:ascii="Arial" w:hAnsi="Arial" w:cs="Arial"/>
        </w:rPr>
      </w:pPr>
      <w:r w:rsidRPr="006D369F">
        <w:rPr>
          <w:rFonts w:ascii="Arial" w:hAnsi="Arial" w:cs="Arial"/>
        </w:rPr>
        <w:t>De</w:t>
      </w:r>
      <w:r w:rsidRPr="006D369F">
        <w:rPr>
          <w:rFonts w:ascii="Arial" w:hAnsi="Arial" w:cs="Arial"/>
          <w:spacing w:val="12"/>
        </w:rPr>
        <w:t xml:space="preserve"> </w:t>
      </w:r>
      <w:r w:rsidRPr="006D369F">
        <w:rPr>
          <w:rFonts w:ascii="Arial" w:hAnsi="Arial" w:cs="Arial"/>
        </w:rPr>
        <w:t>conformidad</w:t>
      </w:r>
      <w:r w:rsidRPr="006D369F">
        <w:rPr>
          <w:rFonts w:ascii="Arial" w:hAnsi="Arial" w:cs="Arial"/>
          <w:spacing w:val="1"/>
        </w:rPr>
        <w:t xml:space="preserve"> </w:t>
      </w:r>
      <w:r w:rsidRPr="006D369F">
        <w:rPr>
          <w:rFonts w:ascii="Arial" w:hAnsi="Arial" w:cs="Arial"/>
        </w:rPr>
        <w:t>con</w:t>
      </w:r>
      <w:r w:rsidRPr="006D369F">
        <w:rPr>
          <w:rFonts w:ascii="Arial" w:hAnsi="Arial" w:cs="Arial"/>
          <w:spacing w:val="9"/>
        </w:rPr>
        <w:t xml:space="preserve"> </w:t>
      </w:r>
      <w:r w:rsidRPr="006D369F">
        <w:rPr>
          <w:rFonts w:ascii="Arial" w:hAnsi="Arial" w:cs="Arial"/>
        </w:rPr>
        <w:t>lo</w:t>
      </w:r>
      <w:r w:rsidRPr="006D369F">
        <w:rPr>
          <w:rFonts w:ascii="Arial" w:hAnsi="Arial" w:cs="Arial"/>
          <w:spacing w:val="21"/>
        </w:rPr>
        <w:t xml:space="preserve"> </w:t>
      </w:r>
      <w:r w:rsidRPr="006D369F">
        <w:rPr>
          <w:rFonts w:ascii="Arial" w:hAnsi="Arial" w:cs="Arial"/>
        </w:rPr>
        <w:t>dispuesto</w:t>
      </w:r>
      <w:r w:rsidRPr="006D369F">
        <w:rPr>
          <w:rFonts w:ascii="Arial" w:hAnsi="Arial" w:cs="Arial"/>
          <w:spacing w:val="2"/>
        </w:rPr>
        <w:t xml:space="preserve"> </w:t>
      </w:r>
      <w:r w:rsidRPr="006D369F">
        <w:rPr>
          <w:rFonts w:ascii="Arial" w:hAnsi="Arial" w:cs="Arial"/>
        </w:rPr>
        <w:t>por</w:t>
      </w:r>
      <w:r w:rsidRPr="006D369F">
        <w:rPr>
          <w:rFonts w:ascii="Arial" w:hAnsi="Arial" w:cs="Arial"/>
          <w:spacing w:val="15"/>
        </w:rPr>
        <w:t xml:space="preserve"> </w:t>
      </w:r>
      <w:r w:rsidRPr="006D369F">
        <w:rPr>
          <w:rFonts w:ascii="Arial" w:hAnsi="Arial" w:cs="Arial"/>
        </w:rPr>
        <w:t>el</w:t>
      </w:r>
      <w:r w:rsidRPr="006D369F">
        <w:rPr>
          <w:rFonts w:ascii="Arial" w:hAnsi="Arial" w:cs="Arial"/>
          <w:spacing w:val="11"/>
        </w:rPr>
        <w:t xml:space="preserve"> </w:t>
      </w:r>
      <w:r w:rsidRPr="006D369F">
        <w:rPr>
          <w:rFonts w:ascii="Arial" w:hAnsi="Arial" w:cs="Arial"/>
        </w:rPr>
        <w:t>numeral</w:t>
      </w:r>
      <w:r w:rsidRPr="006D369F">
        <w:rPr>
          <w:rFonts w:ascii="Arial" w:hAnsi="Arial" w:cs="Arial"/>
          <w:spacing w:val="1"/>
        </w:rPr>
        <w:t xml:space="preserve"> </w:t>
      </w:r>
      <w:r w:rsidRPr="006D369F">
        <w:rPr>
          <w:rFonts w:ascii="Arial" w:hAnsi="Arial" w:cs="Arial"/>
        </w:rPr>
        <w:t>8)</w:t>
      </w:r>
      <w:r w:rsidRPr="006D369F">
        <w:rPr>
          <w:rFonts w:ascii="Arial" w:hAnsi="Arial" w:cs="Arial"/>
          <w:spacing w:val="9"/>
        </w:rPr>
        <w:t xml:space="preserve"> </w:t>
      </w:r>
      <w:r w:rsidRPr="006D369F">
        <w:rPr>
          <w:rFonts w:ascii="Arial" w:hAnsi="Arial" w:cs="Arial"/>
        </w:rPr>
        <w:t>del</w:t>
      </w:r>
      <w:r w:rsidRPr="006D369F">
        <w:rPr>
          <w:rFonts w:ascii="Arial" w:hAnsi="Arial" w:cs="Arial"/>
          <w:spacing w:val="10"/>
        </w:rPr>
        <w:t xml:space="preserve"> </w:t>
      </w:r>
      <w:r w:rsidRPr="006D369F">
        <w:rPr>
          <w:rFonts w:ascii="Arial" w:hAnsi="Arial" w:cs="Arial"/>
        </w:rPr>
        <w:t>artículo</w:t>
      </w:r>
      <w:r w:rsidRPr="006D369F">
        <w:rPr>
          <w:rFonts w:ascii="Arial" w:hAnsi="Arial" w:cs="Arial"/>
          <w:spacing w:val="4"/>
        </w:rPr>
        <w:t xml:space="preserve"> </w:t>
      </w:r>
      <w:r w:rsidRPr="006D369F">
        <w:rPr>
          <w:rFonts w:ascii="Arial" w:hAnsi="Arial" w:cs="Arial"/>
        </w:rPr>
        <w:t>118</w:t>
      </w:r>
      <w:r w:rsidRPr="006D369F">
        <w:rPr>
          <w:rFonts w:ascii="Arial" w:hAnsi="Arial" w:cs="Arial"/>
          <w:spacing w:val="18"/>
        </w:rPr>
        <w:t xml:space="preserve"> </w:t>
      </w:r>
      <w:r w:rsidRPr="006D369F">
        <w:rPr>
          <w:rFonts w:ascii="Arial" w:hAnsi="Arial" w:cs="Arial"/>
        </w:rPr>
        <w:t>de</w:t>
      </w:r>
      <w:r w:rsidRPr="006D369F">
        <w:rPr>
          <w:rFonts w:ascii="Arial" w:hAnsi="Arial" w:cs="Arial"/>
          <w:spacing w:val="18"/>
        </w:rPr>
        <w:t xml:space="preserve"> </w:t>
      </w:r>
      <w:r w:rsidRPr="006D369F">
        <w:rPr>
          <w:rFonts w:ascii="Arial" w:hAnsi="Arial" w:cs="Arial"/>
        </w:rPr>
        <w:t>la</w:t>
      </w:r>
      <w:r w:rsidRPr="006D369F">
        <w:rPr>
          <w:rFonts w:ascii="Arial" w:hAnsi="Arial" w:cs="Arial"/>
          <w:spacing w:val="17"/>
        </w:rPr>
        <w:t xml:space="preserve"> </w:t>
      </w:r>
      <w:r w:rsidRPr="006D369F">
        <w:rPr>
          <w:rFonts w:ascii="Arial" w:hAnsi="Arial" w:cs="Arial"/>
        </w:rPr>
        <w:t>Constitución Política</w:t>
      </w:r>
      <w:r w:rsidRPr="006D369F">
        <w:rPr>
          <w:rFonts w:ascii="Arial" w:hAnsi="Arial" w:cs="Arial"/>
          <w:spacing w:val="-11"/>
        </w:rPr>
        <w:t xml:space="preserve"> </w:t>
      </w:r>
      <w:r w:rsidRPr="006D369F">
        <w:rPr>
          <w:rFonts w:ascii="Arial" w:hAnsi="Arial" w:cs="Arial"/>
        </w:rPr>
        <w:t>del</w:t>
      </w:r>
      <w:r w:rsidRPr="006D369F">
        <w:rPr>
          <w:rFonts w:ascii="Arial" w:hAnsi="Arial" w:cs="Arial"/>
          <w:spacing w:val="-17"/>
        </w:rPr>
        <w:t xml:space="preserve"> </w:t>
      </w:r>
      <w:r w:rsidRPr="006D369F">
        <w:rPr>
          <w:rFonts w:ascii="Arial" w:hAnsi="Arial" w:cs="Arial"/>
        </w:rPr>
        <w:t>Perú</w:t>
      </w:r>
      <w:r w:rsidRPr="006D369F">
        <w:rPr>
          <w:rFonts w:ascii="Arial" w:hAnsi="Arial" w:cs="Arial"/>
          <w:spacing w:val="6"/>
        </w:rPr>
        <w:t xml:space="preserve"> </w:t>
      </w:r>
      <w:r w:rsidRPr="006D369F">
        <w:rPr>
          <w:rFonts w:ascii="Arial" w:hAnsi="Arial" w:cs="Arial"/>
        </w:rPr>
        <w:t>y</w:t>
      </w:r>
      <w:r w:rsidRPr="006D369F">
        <w:rPr>
          <w:rFonts w:ascii="Arial" w:hAnsi="Arial" w:cs="Arial"/>
          <w:spacing w:val="-8"/>
        </w:rPr>
        <w:t xml:space="preserve"> </w:t>
      </w:r>
      <w:r w:rsidRPr="006D369F">
        <w:rPr>
          <w:rFonts w:ascii="Arial" w:hAnsi="Arial" w:cs="Arial"/>
        </w:rPr>
        <w:t>la</w:t>
      </w:r>
      <w:r w:rsidRPr="006D369F">
        <w:rPr>
          <w:rFonts w:ascii="Arial" w:hAnsi="Arial" w:cs="Arial"/>
          <w:spacing w:val="-1"/>
        </w:rPr>
        <w:t xml:space="preserve"> </w:t>
      </w:r>
      <w:r w:rsidRPr="006D369F">
        <w:rPr>
          <w:rFonts w:ascii="Arial" w:hAnsi="Arial" w:cs="Arial"/>
        </w:rPr>
        <w:t>Ley</w:t>
      </w:r>
      <w:r w:rsidRPr="006D369F">
        <w:rPr>
          <w:rFonts w:ascii="Arial" w:hAnsi="Arial" w:cs="Arial"/>
          <w:spacing w:val="1"/>
        </w:rPr>
        <w:t xml:space="preserve"> </w:t>
      </w:r>
      <w:r w:rsidRPr="006D369F">
        <w:rPr>
          <w:rFonts w:ascii="Arial" w:hAnsi="Arial" w:cs="Arial"/>
        </w:rPr>
        <w:t>N°</w:t>
      </w:r>
      <w:r w:rsidRPr="006D369F">
        <w:rPr>
          <w:rFonts w:ascii="Arial" w:hAnsi="Arial" w:cs="Arial"/>
          <w:spacing w:val="-10"/>
        </w:rPr>
        <w:t xml:space="preserve"> </w:t>
      </w:r>
      <w:r w:rsidRPr="006D369F">
        <w:rPr>
          <w:rFonts w:ascii="Arial" w:hAnsi="Arial" w:cs="Arial"/>
        </w:rPr>
        <w:t>29158,</w:t>
      </w:r>
      <w:r w:rsidRPr="006D369F">
        <w:rPr>
          <w:rFonts w:ascii="Arial" w:hAnsi="Arial" w:cs="Arial"/>
          <w:spacing w:val="4"/>
        </w:rPr>
        <w:t xml:space="preserve"> </w:t>
      </w:r>
      <w:r w:rsidRPr="006D369F">
        <w:rPr>
          <w:rFonts w:ascii="Arial" w:hAnsi="Arial" w:cs="Arial"/>
        </w:rPr>
        <w:t>Ley</w:t>
      </w:r>
      <w:r w:rsidRPr="006D369F">
        <w:rPr>
          <w:rFonts w:ascii="Arial" w:hAnsi="Arial" w:cs="Arial"/>
          <w:spacing w:val="-9"/>
        </w:rPr>
        <w:t xml:space="preserve"> </w:t>
      </w:r>
      <w:r w:rsidRPr="006D369F">
        <w:rPr>
          <w:rFonts w:ascii="Arial" w:hAnsi="Arial" w:cs="Arial"/>
        </w:rPr>
        <w:t>Orgánica</w:t>
      </w:r>
      <w:r w:rsidRPr="006D369F">
        <w:rPr>
          <w:rFonts w:ascii="Arial" w:hAnsi="Arial" w:cs="Arial"/>
          <w:spacing w:val="-18"/>
        </w:rPr>
        <w:t xml:space="preserve"> </w:t>
      </w:r>
      <w:r w:rsidRPr="006D369F">
        <w:rPr>
          <w:rFonts w:ascii="Arial" w:hAnsi="Arial" w:cs="Arial"/>
        </w:rPr>
        <w:t>del</w:t>
      </w:r>
      <w:r w:rsidRPr="006D369F">
        <w:rPr>
          <w:rFonts w:ascii="Arial" w:hAnsi="Arial" w:cs="Arial"/>
          <w:spacing w:val="-12"/>
        </w:rPr>
        <w:t xml:space="preserve"> </w:t>
      </w:r>
      <w:r w:rsidRPr="006D369F">
        <w:rPr>
          <w:rFonts w:ascii="Arial" w:hAnsi="Arial" w:cs="Arial"/>
        </w:rPr>
        <w:t>Poder</w:t>
      </w:r>
      <w:r w:rsidRPr="006D369F">
        <w:rPr>
          <w:rFonts w:ascii="Arial" w:hAnsi="Arial" w:cs="Arial"/>
          <w:spacing w:val="-7"/>
        </w:rPr>
        <w:t xml:space="preserve"> </w:t>
      </w:r>
      <w:r w:rsidRPr="006D369F">
        <w:rPr>
          <w:rFonts w:ascii="Arial" w:hAnsi="Arial" w:cs="Arial"/>
        </w:rPr>
        <w:t xml:space="preserve">Ejecutivo; </w:t>
      </w:r>
    </w:p>
    <w:p w:rsidR="00866346" w:rsidRPr="006D369F" w:rsidRDefault="00866346" w:rsidP="00866346">
      <w:pPr>
        <w:widowControl w:val="0"/>
        <w:autoSpaceDE w:val="0"/>
        <w:autoSpaceDN w:val="0"/>
        <w:adjustRightInd w:val="0"/>
        <w:spacing w:after="0" w:line="240" w:lineRule="auto"/>
        <w:ind w:right="-1"/>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708"/>
        <w:rPr>
          <w:rFonts w:ascii="Arial" w:hAnsi="Arial" w:cs="Arial"/>
          <w:b/>
        </w:rPr>
      </w:pPr>
      <w:r w:rsidRPr="006D369F">
        <w:rPr>
          <w:rFonts w:ascii="Arial" w:hAnsi="Arial" w:cs="Arial"/>
          <w:b/>
        </w:rPr>
        <w:t>DECRETA:</w:t>
      </w:r>
    </w:p>
    <w:p w:rsidR="00866346" w:rsidRPr="006D369F" w:rsidRDefault="00866346" w:rsidP="00866346">
      <w:pPr>
        <w:widowControl w:val="0"/>
        <w:autoSpaceDE w:val="0"/>
        <w:autoSpaceDN w:val="0"/>
        <w:adjustRightInd w:val="0"/>
        <w:spacing w:after="0" w:line="240" w:lineRule="auto"/>
        <w:ind w:right="-1"/>
        <w:rPr>
          <w:rFonts w:ascii="Arial" w:hAnsi="Arial" w:cs="Arial"/>
        </w:rPr>
      </w:pPr>
    </w:p>
    <w:p w:rsidR="00866346" w:rsidRPr="006D369F" w:rsidRDefault="00866346" w:rsidP="00866346">
      <w:pPr>
        <w:widowControl w:val="0"/>
        <w:tabs>
          <w:tab w:val="left" w:pos="10065"/>
        </w:tabs>
        <w:autoSpaceDE w:val="0"/>
        <w:autoSpaceDN w:val="0"/>
        <w:adjustRightInd w:val="0"/>
        <w:spacing w:after="0" w:line="240" w:lineRule="auto"/>
        <w:ind w:right="-1" w:firstLine="709"/>
        <w:jc w:val="both"/>
        <w:rPr>
          <w:rFonts w:ascii="Arial" w:hAnsi="Arial" w:cs="Arial"/>
          <w:b/>
        </w:rPr>
      </w:pPr>
      <w:r w:rsidRPr="006D369F">
        <w:rPr>
          <w:rFonts w:ascii="Arial" w:hAnsi="Arial" w:cs="Arial"/>
          <w:b/>
          <w:bCs/>
        </w:rPr>
        <w:t>Artículo</w:t>
      </w:r>
      <w:r w:rsidRPr="006D369F">
        <w:rPr>
          <w:rFonts w:ascii="Arial" w:hAnsi="Arial" w:cs="Arial"/>
          <w:b/>
          <w:bCs/>
          <w:spacing w:val="20"/>
        </w:rPr>
        <w:t xml:space="preserve"> </w:t>
      </w:r>
      <w:r w:rsidRPr="006D369F">
        <w:rPr>
          <w:rFonts w:ascii="Arial" w:hAnsi="Arial" w:cs="Arial"/>
          <w:b/>
          <w:bCs/>
        </w:rPr>
        <w:t>1.-</w:t>
      </w:r>
      <w:r w:rsidRPr="006D369F">
        <w:rPr>
          <w:rFonts w:ascii="Arial" w:hAnsi="Arial" w:cs="Arial"/>
          <w:b/>
          <w:bCs/>
          <w:spacing w:val="12"/>
        </w:rPr>
        <w:t xml:space="preserve"> </w:t>
      </w:r>
      <w:r w:rsidRPr="006D369F">
        <w:rPr>
          <w:rFonts w:ascii="Arial" w:hAnsi="Arial" w:cs="Arial"/>
          <w:b/>
        </w:rPr>
        <w:t>Objeto</w:t>
      </w:r>
      <w:r w:rsidRPr="006D369F">
        <w:rPr>
          <w:rFonts w:ascii="Arial" w:hAnsi="Arial" w:cs="Arial"/>
          <w:b/>
          <w:spacing w:val="-9"/>
        </w:rPr>
        <w:t xml:space="preserve"> </w:t>
      </w:r>
    </w:p>
    <w:p w:rsidR="00866346" w:rsidRPr="006D369F" w:rsidRDefault="00866346" w:rsidP="00866346">
      <w:pPr>
        <w:widowControl w:val="0"/>
        <w:tabs>
          <w:tab w:val="left" w:pos="10065"/>
        </w:tabs>
        <w:autoSpaceDE w:val="0"/>
        <w:autoSpaceDN w:val="0"/>
        <w:adjustRightInd w:val="0"/>
        <w:spacing w:after="0" w:line="240" w:lineRule="auto"/>
        <w:ind w:right="-1" w:firstLine="245"/>
        <w:jc w:val="both"/>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708"/>
        <w:jc w:val="both"/>
        <w:rPr>
          <w:rFonts w:ascii="Arial" w:hAnsi="Arial" w:cs="Arial"/>
        </w:rPr>
      </w:pPr>
      <w:r w:rsidRPr="006D369F">
        <w:rPr>
          <w:rFonts w:ascii="Arial" w:hAnsi="Arial" w:cs="Arial"/>
        </w:rPr>
        <w:t xml:space="preserve">Es objeto de la presente norma, dictar disposiciones para la modificación de </w:t>
      </w:r>
      <w:r w:rsidR="006E6FD9" w:rsidRPr="006D369F">
        <w:rPr>
          <w:rFonts w:ascii="Arial" w:hAnsi="Arial" w:cs="Arial"/>
        </w:rPr>
        <w:t xml:space="preserve">los artículos </w:t>
      </w:r>
      <w:r w:rsidR="00942230">
        <w:rPr>
          <w:rFonts w:ascii="Arial" w:hAnsi="Arial" w:cs="Arial"/>
        </w:rPr>
        <w:t xml:space="preserve">20, </w:t>
      </w:r>
      <w:r w:rsidR="006E6FD9" w:rsidRPr="006D369F">
        <w:rPr>
          <w:rFonts w:ascii="Arial" w:hAnsi="Arial" w:cs="Arial"/>
        </w:rPr>
        <w:t>50 y 51 del Reglamento para el Cierre de Minas</w:t>
      </w:r>
      <w:r w:rsidR="00942230">
        <w:rPr>
          <w:rFonts w:ascii="Arial" w:hAnsi="Arial" w:cs="Arial"/>
        </w:rPr>
        <w:t>,</w:t>
      </w:r>
      <w:r w:rsidR="006E6FD9" w:rsidRPr="006D369F">
        <w:rPr>
          <w:rFonts w:ascii="Arial" w:hAnsi="Arial" w:cs="Arial"/>
        </w:rPr>
        <w:t xml:space="preserve"> aprobado por el</w:t>
      </w:r>
      <w:r w:rsidR="004C2567" w:rsidRPr="006D369F">
        <w:rPr>
          <w:rFonts w:ascii="Arial" w:hAnsi="Arial" w:cs="Arial"/>
        </w:rPr>
        <w:t xml:space="preserve"> Decreto Supremo N° 033-2005-EM</w:t>
      </w:r>
      <w:r w:rsidRPr="006D369F">
        <w:rPr>
          <w:rFonts w:ascii="Arial" w:hAnsi="Arial" w:cs="Arial"/>
        </w:rPr>
        <w:t xml:space="preserve">, con la finalidad </w:t>
      </w:r>
      <w:r w:rsidR="006E6FD9" w:rsidRPr="006D369F">
        <w:rPr>
          <w:rFonts w:ascii="Arial" w:hAnsi="Arial" w:cs="Arial"/>
        </w:rPr>
        <w:t>de promover y agilizar las inversiones en el sector minero</w:t>
      </w:r>
      <w:r w:rsidRPr="006D369F">
        <w:rPr>
          <w:rFonts w:ascii="Arial" w:hAnsi="Arial" w:cs="Arial"/>
        </w:rPr>
        <w:t>.</w:t>
      </w:r>
    </w:p>
    <w:p w:rsidR="00866346" w:rsidRPr="006D369F" w:rsidRDefault="00866346" w:rsidP="00866346">
      <w:pPr>
        <w:widowControl w:val="0"/>
        <w:autoSpaceDE w:val="0"/>
        <w:autoSpaceDN w:val="0"/>
        <w:adjustRightInd w:val="0"/>
        <w:spacing w:before="3" w:after="0" w:line="240" w:lineRule="auto"/>
        <w:ind w:right="-1"/>
        <w:rPr>
          <w:rFonts w:ascii="Arial" w:hAnsi="Arial" w:cs="Arial"/>
        </w:rPr>
      </w:pPr>
    </w:p>
    <w:p w:rsidR="00866346" w:rsidRPr="006D369F" w:rsidRDefault="00866346" w:rsidP="00866346">
      <w:pPr>
        <w:widowControl w:val="0"/>
        <w:autoSpaceDE w:val="0"/>
        <w:autoSpaceDN w:val="0"/>
        <w:adjustRightInd w:val="0"/>
        <w:spacing w:after="0" w:line="240" w:lineRule="auto"/>
        <w:ind w:right="-1" w:firstLine="709"/>
        <w:jc w:val="both"/>
        <w:rPr>
          <w:rFonts w:ascii="Arial" w:hAnsi="Arial" w:cs="Arial"/>
          <w:b/>
          <w:spacing w:val="-5"/>
        </w:rPr>
      </w:pPr>
      <w:r w:rsidRPr="006D369F">
        <w:rPr>
          <w:rFonts w:ascii="Arial" w:hAnsi="Arial" w:cs="Arial"/>
          <w:b/>
          <w:bCs/>
        </w:rPr>
        <w:t>Artículo</w:t>
      </w:r>
      <w:r w:rsidRPr="006D369F">
        <w:rPr>
          <w:rFonts w:ascii="Arial" w:hAnsi="Arial" w:cs="Arial"/>
          <w:b/>
          <w:bCs/>
          <w:spacing w:val="21"/>
        </w:rPr>
        <w:t xml:space="preserve"> </w:t>
      </w:r>
      <w:r w:rsidRPr="006D369F">
        <w:rPr>
          <w:rFonts w:ascii="Arial" w:hAnsi="Arial" w:cs="Arial"/>
          <w:b/>
        </w:rPr>
        <w:t xml:space="preserve">2.- </w:t>
      </w:r>
      <w:r w:rsidRPr="006D369F">
        <w:rPr>
          <w:rFonts w:ascii="Arial" w:hAnsi="Arial" w:cs="Arial"/>
          <w:b/>
          <w:spacing w:val="-5"/>
        </w:rPr>
        <w:t xml:space="preserve"> Modificación de los artículos </w:t>
      </w:r>
      <w:r w:rsidR="00040592">
        <w:rPr>
          <w:rFonts w:ascii="Arial" w:hAnsi="Arial" w:cs="Arial"/>
          <w:b/>
          <w:spacing w:val="-5"/>
        </w:rPr>
        <w:t xml:space="preserve">20, </w:t>
      </w:r>
      <w:r w:rsidR="006E6FD9" w:rsidRPr="006D369F">
        <w:rPr>
          <w:rFonts w:ascii="Arial" w:hAnsi="Arial" w:cs="Arial"/>
          <w:b/>
          <w:spacing w:val="-5"/>
        </w:rPr>
        <w:t xml:space="preserve">50 </w:t>
      </w:r>
      <w:r w:rsidRPr="006D369F">
        <w:rPr>
          <w:rFonts w:ascii="Arial" w:hAnsi="Arial" w:cs="Arial"/>
          <w:b/>
        </w:rPr>
        <w:t xml:space="preserve">y </w:t>
      </w:r>
      <w:r w:rsidR="006E6FD9" w:rsidRPr="006D369F">
        <w:rPr>
          <w:rFonts w:ascii="Arial" w:hAnsi="Arial" w:cs="Arial"/>
          <w:b/>
        </w:rPr>
        <w:t>51</w:t>
      </w:r>
      <w:r w:rsidRPr="006D369F">
        <w:rPr>
          <w:rFonts w:ascii="Arial" w:hAnsi="Arial" w:cs="Arial"/>
          <w:b/>
        </w:rPr>
        <w:t xml:space="preserve"> del Reglamento </w:t>
      </w:r>
      <w:r w:rsidR="006E6FD9" w:rsidRPr="006D369F">
        <w:rPr>
          <w:rFonts w:ascii="Arial" w:hAnsi="Arial" w:cs="Arial"/>
          <w:b/>
        </w:rPr>
        <w:t>para el Cierre de Minas</w:t>
      </w:r>
      <w:r w:rsidRPr="006D369F">
        <w:rPr>
          <w:rFonts w:ascii="Arial" w:hAnsi="Arial" w:cs="Arial"/>
          <w:b/>
        </w:rPr>
        <w:t>.</w:t>
      </w:r>
    </w:p>
    <w:p w:rsidR="00866346" w:rsidRPr="006D369F" w:rsidRDefault="00866346" w:rsidP="00866346">
      <w:pPr>
        <w:widowControl w:val="0"/>
        <w:autoSpaceDE w:val="0"/>
        <w:autoSpaceDN w:val="0"/>
        <w:adjustRightInd w:val="0"/>
        <w:spacing w:after="0" w:line="240" w:lineRule="auto"/>
        <w:ind w:right="-1" w:firstLine="236"/>
        <w:jc w:val="both"/>
        <w:rPr>
          <w:rFonts w:ascii="Arial" w:hAnsi="Arial" w:cs="Arial"/>
          <w:spacing w:val="-5"/>
        </w:rPr>
      </w:pPr>
    </w:p>
    <w:p w:rsidR="00866346" w:rsidRPr="006D369F" w:rsidRDefault="00866346" w:rsidP="00866346">
      <w:pPr>
        <w:widowControl w:val="0"/>
        <w:autoSpaceDE w:val="0"/>
        <w:autoSpaceDN w:val="0"/>
        <w:adjustRightInd w:val="0"/>
        <w:spacing w:after="0" w:line="240" w:lineRule="auto"/>
        <w:ind w:right="-1" w:firstLine="708"/>
        <w:jc w:val="both"/>
        <w:rPr>
          <w:rFonts w:ascii="Arial" w:hAnsi="Arial" w:cs="Arial"/>
        </w:rPr>
      </w:pPr>
      <w:r w:rsidRPr="006D369F">
        <w:rPr>
          <w:rFonts w:ascii="Arial" w:hAnsi="Arial" w:cs="Arial"/>
        </w:rPr>
        <w:t>Modifíquense</w:t>
      </w:r>
      <w:r w:rsidRPr="006D369F">
        <w:rPr>
          <w:rFonts w:ascii="Arial" w:hAnsi="Arial" w:cs="Arial"/>
          <w:spacing w:val="-15"/>
        </w:rPr>
        <w:t xml:space="preserve"> </w:t>
      </w:r>
      <w:r w:rsidRPr="006D369F">
        <w:rPr>
          <w:rFonts w:ascii="Arial" w:hAnsi="Arial" w:cs="Arial"/>
        </w:rPr>
        <w:t>los</w:t>
      </w:r>
      <w:r w:rsidRPr="006D369F">
        <w:rPr>
          <w:rFonts w:ascii="Arial" w:hAnsi="Arial" w:cs="Arial"/>
          <w:spacing w:val="-3"/>
        </w:rPr>
        <w:t xml:space="preserve"> </w:t>
      </w:r>
      <w:r w:rsidRPr="006D369F">
        <w:rPr>
          <w:rFonts w:ascii="Arial" w:hAnsi="Arial" w:cs="Arial"/>
        </w:rPr>
        <w:t>artículos</w:t>
      </w:r>
      <w:r w:rsidRPr="006D369F">
        <w:rPr>
          <w:rFonts w:ascii="Arial" w:hAnsi="Arial" w:cs="Arial"/>
          <w:spacing w:val="-12"/>
        </w:rPr>
        <w:t xml:space="preserve"> </w:t>
      </w:r>
      <w:r w:rsidR="00040592">
        <w:rPr>
          <w:rFonts w:ascii="Arial" w:hAnsi="Arial" w:cs="Arial"/>
          <w:spacing w:val="-12"/>
        </w:rPr>
        <w:t xml:space="preserve">20, </w:t>
      </w:r>
      <w:r w:rsidR="006E6FD9" w:rsidRPr="006D369F">
        <w:rPr>
          <w:rFonts w:ascii="Arial" w:hAnsi="Arial" w:cs="Arial"/>
          <w:spacing w:val="-12"/>
        </w:rPr>
        <w:t>50</w:t>
      </w:r>
      <w:r w:rsidRPr="006D369F">
        <w:rPr>
          <w:rFonts w:ascii="Arial" w:hAnsi="Arial" w:cs="Arial"/>
        </w:rPr>
        <w:t xml:space="preserve"> y </w:t>
      </w:r>
      <w:r w:rsidR="006E6FD9" w:rsidRPr="006D369F">
        <w:rPr>
          <w:rFonts w:ascii="Arial" w:hAnsi="Arial" w:cs="Arial"/>
        </w:rPr>
        <w:t>51</w:t>
      </w:r>
      <w:r w:rsidRPr="006D369F">
        <w:rPr>
          <w:rFonts w:ascii="Arial" w:hAnsi="Arial" w:cs="Arial"/>
        </w:rPr>
        <w:t xml:space="preserve"> del</w:t>
      </w:r>
      <w:r w:rsidRPr="006D369F">
        <w:rPr>
          <w:rFonts w:ascii="Arial" w:hAnsi="Arial" w:cs="Arial"/>
          <w:spacing w:val="-17"/>
        </w:rPr>
        <w:t xml:space="preserve"> </w:t>
      </w:r>
      <w:r w:rsidRPr="006D369F">
        <w:rPr>
          <w:rFonts w:ascii="Arial" w:hAnsi="Arial" w:cs="Arial"/>
        </w:rPr>
        <w:t>Reglamento</w:t>
      </w:r>
      <w:r w:rsidRPr="006D369F">
        <w:rPr>
          <w:rFonts w:ascii="Arial" w:hAnsi="Arial" w:cs="Arial"/>
          <w:spacing w:val="-13"/>
        </w:rPr>
        <w:t xml:space="preserve"> </w:t>
      </w:r>
      <w:r w:rsidR="006E6FD9" w:rsidRPr="006D369F">
        <w:rPr>
          <w:rFonts w:ascii="Arial" w:hAnsi="Arial" w:cs="Arial"/>
          <w:spacing w:val="-13"/>
        </w:rPr>
        <w:t>para el Cierre de Minas</w:t>
      </w:r>
      <w:r w:rsidRPr="006D369F">
        <w:rPr>
          <w:rFonts w:ascii="Arial" w:hAnsi="Arial" w:cs="Arial"/>
        </w:rPr>
        <w:t>, conforme a los siguientes textos:</w:t>
      </w:r>
    </w:p>
    <w:p w:rsidR="00866346" w:rsidRDefault="00866346" w:rsidP="00866346">
      <w:pPr>
        <w:widowControl w:val="0"/>
        <w:autoSpaceDE w:val="0"/>
        <w:autoSpaceDN w:val="0"/>
        <w:adjustRightInd w:val="0"/>
        <w:spacing w:after="0" w:line="240" w:lineRule="auto"/>
        <w:ind w:right="-1" w:firstLine="236"/>
        <w:jc w:val="both"/>
        <w:rPr>
          <w:rFonts w:ascii="Arial" w:hAnsi="Arial" w:cs="Arial"/>
        </w:rPr>
      </w:pPr>
    </w:p>
    <w:p w:rsidR="00FB0A4D" w:rsidRPr="00FB0A4D" w:rsidRDefault="00FB0A4D" w:rsidP="00FB0A4D">
      <w:pPr>
        <w:spacing w:after="0" w:line="240" w:lineRule="auto"/>
        <w:jc w:val="both"/>
        <w:rPr>
          <w:rFonts w:ascii="Arial" w:hAnsi="Arial" w:cs="Arial"/>
          <w:i/>
        </w:rPr>
      </w:pPr>
      <w:r>
        <w:rPr>
          <w:rFonts w:ascii="Arial" w:hAnsi="Arial" w:cs="Arial"/>
          <w:i/>
        </w:rPr>
        <w:t>“</w:t>
      </w:r>
      <w:r w:rsidRPr="00FB0A4D">
        <w:rPr>
          <w:rFonts w:ascii="Arial" w:hAnsi="Arial" w:cs="Arial"/>
          <w:i/>
        </w:rPr>
        <w:t>Artículo 20.- Modificaciones al Plan de Cierre de Minas</w:t>
      </w:r>
    </w:p>
    <w:p w:rsidR="00FB0A4D" w:rsidRPr="00FB0A4D" w:rsidRDefault="00FB0A4D" w:rsidP="00FB0A4D">
      <w:pPr>
        <w:spacing w:after="0" w:line="240" w:lineRule="auto"/>
        <w:jc w:val="both"/>
        <w:rPr>
          <w:rFonts w:ascii="Arial" w:hAnsi="Arial" w:cs="Arial"/>
          <w:i/>
        </w:rPr>
      </w:pPr>
      <w:r w:rsidRPr="00FB0A4D">
        <w:rPr>
          <w:rFonts w:ascii="Arial" w:hAnsi="Arial" w:cs="Arial"/>
          <w:i/>
        </w:rPr>
        <w:tab/>
        <w:t>El Plan de Cierre de Minas debe ser objeto de revisión y modificación, en los siguientes casos:</w:t>
      </w:r>
    </w:p>
    <w:p w:rsidR="00FB0A4D" w:rsidRDefault="00FB0A4D" w:rsidP="00FB0A4D">
      <w:pPr>
        <w:pStyle w:val="NormalWeb"/>
        <w:spacing w:before="0" w:beforeAutospacing="0" w:after="0" w:afterAutospacing="0"/>
        <w:jc w:val="both"/>
        <w:rPr>
          <w:rFonts w:ascii="Arial" w:eastAsia="Calibri" w:hAnsi="Arial" w:cs="Arial"/>
          <w:i/>
          <w:sz w:val="22"/>
          <w:szCs w:val="22"/>
          <w:lang w:eastAsia="en-US"/>
        </w:rPr>
      </w:pPr>
      <w:r w:rsidRPr="00FB0A4D">
        <w:rPr>
          <w:rFonts w:ascii="Arial" w:eastAsia="Calibri" w:hAnsi="Arial" w:cs="Arial"/>
          <w:i/>
          <w:sz w:val="22"/>
          <w:szCs w:val="22"/>
          <w:lang w:eastAsia="en-US"/>
        </w:rPr>
        <w:tab/>
      </w:r>
    </w:p>
    <w:p w:rsidR="00FB0A4D" w:rsidRDefault="00FB0A4D" w:rsidP="00041BCF">
      <w:pPr>
        <w:pStyle w:val="NormalWeb"/>
        <w:spacing w:before="0" w:beforeAutospacing="0" w:after="0" w:afterAutospacing="0"/>
        <w:ind w:firstLine="708"/>
        <w:jc w:val="both"/>
        <w:rPr>
          <w:rFonts w:ascii="Arial" w:eastAsia="Calibri" w:hAnsi="Arial" w:cs="Arial"/>
          <w:i/>
          <w:sz w:val="22"/>
          <w:szCs w:val="22"/>
          <w:lang w:eastAsia="en-US"/>
        </w:rPr>
      </w:pPr>
      <w:r w:rsidRPr="00FB0A4D">
        <w:rPr>
          <w:rFonts w:ascii="Arial" w:eastAsia="Calibri" w:hAnsi="Arial" w:cs="Arial"/>
          <w:i/>
          <w:sz w:val="22"/>
          <w:szCs w:val="22"/>
          <w:lang w:eastAsia="en-US"/>
        </w:rPr>
        <w:t xml:space="preserve">20.1. </w:t>
      </w:r>
      <w:r w:rsidR="00041BCF" w:rsidRPr="006B7B1F">
        <w:rPr>
          <w:rFonts w:ascii="Arial" w:eastAsia="Calibri" w:hAnsi="Arial" w:cs="Arial"/>
          <w:b/>
          <w:i/>
          <w:sz w:val="22"/>
          <w:szCs w:val="22"/>
          <w:lang w:eastAsia="en-US"/>
        </w:rPr>
        <w:t>Luego de transcurridos cinco (5) años desde su aprobación</w:t>
      </w:r>
      <w:r w:rsidRPr="00FB0A4D">
        <w:rPr>
          <w:rFonts w:ascii="Arial" w:eastAsia="Calibri" w:hAnsi="Arial" w:cs="Arial"/>
          <w:i/>
          <w:sz w:val="22"/>
          <w:szCs w:val="22"/>
          <w:lang w:eastAsia="en-US"/>
        </w:rPr>
        <w:t xml:space="preserve">. </w:t>
      </w:r>
    </w:p>
    <w:p w:rsidR="00041BCF" w:rsidRPr="00FB0A4D" w:rsidRDefault="00041BCF" w:rsidP="00041BCF">
      <w:pPr>
        <w:pStyle w:val="NormalWeb"/>
        <w:spacing w:before="0" w:beforeAutospacing="0" w:after="0" w:afterAutospacing="0"/>
        <w:ind w:firstLine="708"/>
        <w:jc w:val="both"/>
        <w:rPr>
          <w:rFonts w:ascii="Arial" w:eastAsia="Calibri" w:hAnsi="Arial" w:cs="Arial"/>
          <w:i/>
          <w:sz w:val="22"/>
          <w:szCs w:val="22"/>
          <w:lang w:eastAsia="en-US"/>
        </w:rPr>
      </w:pPr>
    </w:p>
    <w:p w:rsidR="00FB0A4D" w:rsidRPr="00FB0A4D" w:rsidRDefault="00FB0A4D" w:rsidP="00FB0A4D">
      <w:pPr>
        <w:spacing w:after="0" w:line="240" w:lineRule="auto"/>
        <w:jc w:val="both"/>
        <w:rPr>
          <w:rFonts w:ascii="Arial" w:hAnsi="Arial" w:cs="Arial"/>
          <w:i/>
        </w:rPr>
      </w:pPr>
      <w:r w:rsidRPr="00FB0A4D">
        <w:rPr>
          <w:rFonts w:ascii="Arial" w:hAnsi="Arial" w:cs="Arial"/>
          <w:i/>
        </w:rPr>
        <w:tab/>
        <w:t xml:space="preserve">20.2. Cuando lo determine </w:t>
      </w:r>
      <w:smartTag w:uri="urn:schemas-microsoft-com:office:smarttags" w:element="PersonName">
        <w:smartTagPr>
          <w:attr w:name="ProductID" w:val="la Direcci￳n General"/>
        </w:smartTagPr>
        <w:r w:rsidRPr="00FB0A4D">
          <w:rPr>
            <w:rFonts w:ascii="Arial" w:hAnsi="Arial" w:cs="Arial"/>
            <w:i/>
          </w:rPr>
          <w:t>la Dirección General</w:t>
        </w:r>
      </w:smartTag>
      <w:r w:rsidRPr="00FB0A4D">
        <w:rPr>
          <w:rFonts w:ascii="Arial" w:hAnsi="Arial" w:cs="Arial"/>
          <w:i/>
        </w:rPr>
        <w:t xml:space="preserve"> de Minería, en ejercicio de sus funciones de fiscalización, por haberse evidenciado un desfase significativo entre el presupuesto del Plan de Cierre de Minas aprobado y los montos que efectivamente se estén registrando en la ejecución o se prevea ejecutar; cuando se produzcan mejoras tecnológicas o cualquier otro cambio que varíe significativamente las circunstancias en </w:t>
      </w:r>
      <w:r w:rsidRPr="00FB0A4D">
        <w:rPr>
          <w:rFonts w:ascii="Arial" w:hAnsi="Arial" w:cs="Arial"/>
          <w:i/>
        </w:rPr>
        <w:lastRenderedPageBreak/>
        <w:t>virtud de las cuales se aprobó el Plan de Cierre de Minas o su última modificación o actualización.</w:t>
      </w:r>
    </w:p>
    <w:p w:rsidR="00FB0A4D" w:rsidRPr="00FB0A4D" w:rsidRDefault="00FB0A4D" w:rsidP="00FB0A4D">
      <w:pPr>
        <w:spacing w:after="0" w:line="240" w:lineRule="auto"/>
        <w:jc w:val="both"/>
        <w:rPr>
          <w:rFonts w:ascii="Arial" w:hAnsi="Arial" w:cs="Arial"/>
          <w:i/>
        </w:rPr>
      </w:pPr>
    </w:p>
    <w:p w:rsidR="00FB0A4D" w:rsidRPr="006B7B1F" w:rsidRDefault="00FB0A4D" w:rsidP="00FB0A4D">
      <w:pPr>
        <w:spacing w:after="0" w:line="240" w:lineRule="auto"/>
        <w:jc w:val="both"/>
        <w:rPr>
          <w:rFonts w:ascii="Arial" w:hAnsi="Arial" w:cs="Arial"/>
          <w:b/>
          <w:i/>
        </w:rPr>
      </w:pPr>
      <w:r w:rsidRPr="006B7B1F">
        <w:rPr>
          <w:rFonts w:ascii="Arial" w:hAnsi="Arial" w:cs="Arial"/>
          <w:b/>
          <w:i/>
        </w:rPr>
        <w:t xml:space="preserve">20.3 En el caso que el titular de actividad minera modifique el Plan de Cierre aprobado antes de transcurrido el plazo a que se refiere el numeral 20.1 precedente, en dicha modificación puede incluir la actualización del Plan de Cierre. </w:t>
      </w:r>
    </w:p>
    <w:p w:rsidR="004B76E7" w:rsidRPr="006D369F" w:rsidRDefault="004B76E7" w:rsidP="006B7B1F">
      <w:pPr>
        <w:widowControl w:val="0"/>
        <w:autoSpaceDE w:val="0"/>
        <w:autoSpaceDN w:val="0"/>
        <w:adjustRightInd w:val="0"/>
        <w:spacing w:after="0" w:line="240" w:lineRule="auto"/>
        <w:ind w:right="-1"/>
        <w:jc w:val="both"/>
        <w:rPr>
          <w:rFonts w:ascii="Arial" w:hAnsi="Arial" w:cs="Arial"/>
        </w:rPr>
      </w:pPr>
    </w:p>
    <w:p w:rsidR="006D369F" w:rsidRDefault="00866346" w:rsidP="006F5AB0">
      <w:pPr>
        <w:widowControl w:val="0"/>
        <w:autoSpaceDE w:val="0"/>
        <w:autoSpaceDN w:val="0"/>
        <w:adjustRightInd w:val="0"/>
        <w:spacing w:after="0" w:line="240" w:lineRule="auto"/>
        <w:ind w:right="-1" w:firstLine="708"/>
        <w:jc w:val="both"/>
        <w:rPr>
          <w:rFonts w:ascii="Arial" w:hAnsi="Arial" w:cs="Arial"/>
          <w:i/>
        </w:rPr>
      </w:pPr>
      <w:r w:rsidRPr="006D369F">
        <w:rPr>
          <w:rFonts w:ascii="Arial" w:hAnsi="Arial" w:cs="Arial"/>
          <w:i/>
        </w:rPr>
        <w:t>“</w:t>
      </w:r>
      <w:r w:rsidR="006E6FD9" w:rsidRPr="006D369F">
        <w:rPr>
          <w:rFonts w:ascii="Arial" w:hAnsi="Arial" w:cs="Arial"/>
          <w:i/>
        </w:rPr>
        <w:t>Artículo 50.- Oportunidad de constitución e importe anual de la garantía</w:t>
      </w:r>
    </w:p>
    <w:p w:rsidR="006E6FD9" w:rsidRPr="006D369F" w:rsidRDefault="006E6FD9" w:rsidP="006F5AB0">
      <w:pPr>
        <w:widowControl w:val="0"/>
        <w:autoSpaceDE w:val="0"/>
        <w:autoSpaceDN w:val="0"/>
        <w:adjustRightInd w:val="0"/>
        <w:spacing w:after="0" w:line="240" w:lineRule="auto"/>
        <w:ind w:right="-1" w:firstLine="708"/>
        <w:jc w:val="both"/>
        <w:rPr>
          <w:rFonts w:ascii="Arial" w:hAnsi="Arial" w:cs="Arial"/>
          <w:i/>
        </w:rPr>
      </w:pPr>
      <w:r w:rsidRPr="006D369F">
        <w:rPr>
          <w:rFonts w:ascii="Arial" w:hAnsi="Arial" w:cs="Arial"/>
          <w:i/>
        </w:rPr>
        <w:t xml:space="preserve"> </w:t>
      </w:r>
    </w:p>
    <w:p w:rsidR="003444EE" w:rsidRPr="006D369F" w:rsidRDefault="003444EE" w:rsidP="006F5AB0">
      <w:pPr>
        <w:widowControl w:val="0"/>
        <w:autoSpaceDE w:val="0"/>
        <w:autoSpaceDN w:val="0"/>
        <w:adjustRightInd w:val="0"/>
        <w:spacing w:after="0" w:line="240" w:lineRule="auto"/>
        <w:ind w:firstLine="708"/>
        <w:jc w:val="both"/>
        <w:rPr>
          <w:rFonts w:ascii="Arial" w:hAnsi="Arial" w:cs="Arial"/>
          <w:b/>
          <w:i/>
        </w:rPr>
      </w:pPr>
      <w:r w:rsidRPr="006D369F">
        <w:rPr>
          <w:rFonts w:ascii="Arial" w:hAnsi="Arial" w:cs="Arial"/>
          <w:i/>
        </w:rPr>
        <w:t xml:space="preserve">50.1 </w:t>
      </w:r>
      <w:r w:rsidR="006E6FD9" w:rsidRPr="006D369F">
        <w:rPr>
          <w:rFonts w:ascii="Arial" w:hAnsi="Arial" w:cs="Arial"/>
          <w:i/>
        </w:rPr>
        <w:t xml:space="preserve">La garantía </w:t>
      </w:r>
      <w:r w:rsidRPr="006D369F">
        <w:rPr>
          <w:rFonts w:ascii="Arial" w:hAnsi="Arial" w:cs="Arial"/>
          <w:b/>
          <w:i/>
        </w:rPr>
        <w:t>del plan de cierre aprobado</w:t>
      </w:r>
      <w:r w:rsidRPr="006D369F">
        <w:rPr>
          <w:rFonts w:ascii="Arial" w:hAnsi="Arial" w:cs="Arial"/>
          <w:i/>
        </w:rPr>
        <w:t xml:space="preserve"> se </w:t>
      </w:r>
      <w:r w:rsidRPr="006D369F">
        <w:rPr>
          <w:rFonts w:ascii="Arial" w:hAnsi="Arial" w:cs="Arial"/>
          <w:b/>
          <w:i/>
        </w:rPr>
        <w:t>constituye</w:t>
      </w:r>
      <w:r w:rsidR="008C2F12">
        <w:rPr>
          <w:rFonts w:ascii="Arial" w:hAnsi="Arial" w:cs="Arial"/>
          <w:i/>
        </w:rPr>
        <w:t xml:space="preserve"> dentro de los primeros doce </w:t>
      </w:r>
      <w:r w:rsidRPr="006D369F">
        <w:rPr>
          <w:rFonts w:ascii="Arial" w:hAnsi="Arial" w:cs="Arial"/>
          <w:i/>
        </w:rPr>
        <w:t xml:space="preserve">días hábiles contados desde el día siguiente que se notifica al titular de actividad minera la autorización de </w:t>
      </w:r>
      <w:r w:rsidRPr="006D369F">
        <w:rPr>
          <w:rFonts w:ascii="Arial" w:hAnsi="Arial" w:cs="Arial"/>
          <w:b/>
          <w:i/>
        </w:rPr>
        <w:t>construcción de la Concesión de Beneficio o la autorización de actividades de exploración o explotación, de ser el caso.</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866346" w:rsidRPr="006D369F" w:rsidRDefault="003444EE" w:rsidP="006F5AB0">
      <w:pPr>
        <w:widowControl w:val="0"/>
        <w:autoSpaceDE w:val="0"/>
        <w:autoSpaceDN w:val="0"/>
        <w:adjustRightInd w:val="0"/>
        <w:spacing w:after="0" w:line="240" w:lineRule="auto"/>
        <w:ind w:firstLine="708"/>
        <w:jc w:val="both"/>
        <w:rPr>
          <w:rFonts w:ascii="Arial" w:hAnsi="Arial" w:cs="Arial"/>
          <w:b/>
          <w:i/>
        </w:rPr>
      </w:pPr>
      <w:r w:rsidRPr="006D369F">
        <w:rPr>
          <w:rFonts w:ascii="Arial" w:hAnsi="Arial" w:cs="Arial"/>
          <w:i/>
        </w:rPr>
        <w:t xml:space="preserve">50.2 </w:t>
      </w:r>
      <w:r w:rsidRPr="006D369F">
        <w:rPr>
          <w:rFonts w:ascii="Arial" w:hAnsi="Arial" w:cs="Arial"/>
          <w:b/>
          <w:i/>
        </w:rPr>
        <w:t xml:space="preserve">La garantía debe ser renovada o actualizada, dentro de los primeros doce (12) días hábiles </w:t>
      </w:r>
      <w:r w:rsidR="006E6FD9" w:rsidRPr="006D369F">
        <w:rPr>
          <w:rFonts w:ascii="Arial" w:hAnsi="Arial" w:cs="Arial"/>
          <w:b/>
          <w:i/>
        </w:rPr>
        <w:t>de cada año</w:t>
      </w:r>
      <w:r w:rsidRPr="006D369F">
        <w:rPr>
          <w:rFonts w:ascii="Arial" w:hAnsi="Arial" w:cs="Arial"/>
          <w:b/>
          <w:i/>
        </w:rPr>
        <w:t>, sin perjuicio de la fecha en que se constituyó conforme al numeral precedente</w:t>
      </w:r>
      <w:r w:rsidR="006E6FD9" w:rsidRPr="006D369F">
        <w:rPr>
          <w:rFonts w:ascii="Arial" w:hAnsi="Arial" w:cs="Arial"/>
          <w:b/>
          <w:i/>
        </w:rPr>
        <w:t>.</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b/>
          <w:i/>
        </w:rPr>
      </w:pPr>
    </w:p>
    <w:p w:rsidR="003444EE" w:rsidRPr="006D369F" w:rsidRDefault="003444EE"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b/>
          <w:i/>
        </w:rPr>
        <w:t>50.3 Excepcionalmente, el titular de actividad minera puede solicitar la suspensión del plazo de presentación de la garantía a que se refiere el numeral 50.1 precedente</w:t>
      </w:r>
      <w:r w:rsidR="006F5AB0" w:rsidRPr="006D369F">
        <w:rPr>
          <w:rFonts w:ascii="Arial" w:hAnsi="Arial" w:cs="Arial"/>
          <w:b/>
          <w:i/>
        </w:rPr>
        <w:t>, dentro del plazo otorgado en dicho numeral</w:t>
      </w:r>
      <w:r w:rsidRPr="006D369F">
        <w:rPr>
          <w:rFonts w:ascii="Arial" w:hAnsi="Arial" w:cs="Arial"/>
          <w:b/>
          <w:i/>
        </w:rPr>
        <w:t xml:space="preserve">, de considerar que se configura un supuesto de caso fortuito o fuerza mayor adjuntando documentación que acredite </w:t>
      </w:r>
      <w:r w:rsidR="006F5AB0" w:rsidRPr="006D369F">
        <w:rPr>
          <w:rFonts w:ascii="Arial" w:hAnsi="Arial" w:cs="Arial"/>
          <w:b/>
          <w:i/>
        </w:rPr>
        <w:t>su solicitud</w:t>
      </w:r>
      <w:r w:rsidRPr="006D369F">
        <w:rPr>
          <w:rFonts w:ascii="Arial" w:hAnsi="Arial" w:cs="Arial"/>
          <w:b/>
          <w:i/>
        </w:rPr>
        <w:t>, situación que debe ser evaluada por la Dirección General de Mine</w:t>
      </w:r>
      <w:r w:rsidR="008C2F12">
        <w:rPr>
          <w:rFonts w:ascii="Arial" w:hAnsi="Arial" w:cs="Arial"/>
          <w:b/>
          <w:i/>
        </w:rPr>
        <w:t>ría en un plazo máximo de diez</w:t>
      </w:r>
      <w:r w:rsidRPr="006D369F">
        <w:rPr>
          <w:rFonts w:ascii="Arial" w:hAnsi="Arial" w:cs="Arial"/>
          <w:b/>
          <w:i/>
        </w:rPr>
        <w:t xml:space="preserve"> días hábiles de presentada la solicitud.</w:t>
      </w:r>
    </w:p>
    <w:p w:rsidR="006E6FD9" w:rsidRPr="006D369F" w:rsidRDefault="006E6FD9" w:rsidP="006F5AB0">
      <w:pPr>
        <w:widowControl w:val="0"/>
        <w:autoSpaceDE w:val="0"/>
        <w:autoSpaceDN w:val="0"/>
        <w:adjustRightInd w:val="0"/>
        <w:spacing w:after="0" w:line="240" w:lineRule="auto"/>
        <w:ind w:right="-1" w:firstLine="426"/>
        <w:jc w:val="both"/>
        <w:rPr>
          <w:rFonts w:ascii="Arial" w:hAnsi="Arial" w:cs="Arial"/>
          <w:i/>
        </w:rPr>
      </w:pPr>
    </w:p>
    <w:p w:rsidR="006E6FD9" w:rsidRPr="006D369F" w:rsidRDefault="00866346" w:rsidP="006F5AB0">
      <w:pPr>
        <w:pStyle w:val="Default"/>
        <w:ind w:firstLine="708"/>
        <w:rPr>
          <w:rFonts w:eastAsiaTheme="minorHAnsi"/>
          <w:sz w:val="22"/>
          <w:szCs w:val="22"/>
          <w:lang w:eastAsia="en-US"/>
        </w:rPr>
      </w:pPr>
      <w:r w:rsidRPr="006D369F">
        <w:rPr>
          <w:i/>
          <w:sz w:val="22"/>
          <w:szCs w:val="22"/>
        </w:rPr>
        <w:t>“</w:t>
      </w:r>
      <w:r w:rsidR="006E6FD9" w:rsidRPr="006D369F">
        <w:rPr>
          <w:i/>
          <w:color w:val="auto"/>
          <w:sz w:val="22"/>
          <w:szCs w:val="22"/>
          <w:lang w:eastAsia="en-US"/>
        </w:rPr>
        <w:t>Artículo 51.- Cálculo del monto de la garantía</w:t>
      </w:r>
      <w:r w:rsidR="006E6FD9" w:rsidRPr="006D369F">
        <w:rPr>
          <w:rFonts w:eastAsiaTheme="minorHAnsi"/>
          <w:b/>
          <w:bCs/>
          <w:sz w:val="22"/>
          <w:szCs w:val="22"/>
          <w:lang w:eastAsia="en-US"/>
        </w:rPr>
        <w:t xml:space="preserve"> </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 xml:space="preserve">El monto de la garantía se calcula restando al valor total del Plan de Cierre de Minas, el importe de los montos correspondientes al cierre progresivo - con excepción del importe de las medidas de cierre progresivo señaladas en el literal b) del artículo 48, los cuales no se descuentan -, los montos de cierre que se hubieren ejecutado y el importe del monto de las garantías constituidas que hubiere sido actualizado. La garantía se constituye con el aporte de montos anuales, resultantes de la división del monto de la garantía, entre el número de años de vida útil que le restan a la unidad minera. En caso que el titular de actividad minera hubiera incumplido los plazos correspondientes a la ejecución del presupuesto o las medidas de cierre progresivo, el importe total de las mismas </w:t>
      </w:r>
      <w:r w:rsidR="006F5AB0" w:rsidRPr="006D369F">
        <w:rPr>
          <w:rFonts w:ascii="Arial" w:hAnsi="Arial" w:cs="Arial"/>
          <w:b/>
          <w:i/>
        </w:rPr>
        <w:t>debe ser</w:t>
      </w:r>
      <w:r w:rsidRPr="006D369F">
        <w:rPr>
          <w:rFonts w:ascii="Arial" w:hAnsi="Arial" w:cs="Arial"/>
          <w:i/>
        </w:rPr>
        <w:t xml:space="preserve"> incluido en el monto anual de la garantía. </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 xml:space="preserve">Para unidades mineras nuevas o en operación, la vida útil </w:t>
      </w:r>
      <w:r w:rsidR="00F70E96">
        <w:rPr>
          <w:rFonts w:ascii="Arial" w:hAnsi="Arial" w:cs="Arial"/>
          <w:i/>
        </w:rPr>
        <w:t>será</w:t>
      </w:r>
      <w:r w:rsidRPr="006D369F">
        <w:rPr>
          <w:rFonts w:ascii="Arial" w:hAnsi="Arial" w:cs="Arial"/>
          <w:i/>
        </w:rPr>
        <w:t xml:space="preserve"> considerada en función de su producción anual y las reservas probadas y probables, según lo señalado en la Declaración Anual Consolidada correspondiente. En el caso de unidades mineras que utilicen pilas de lixiviación, el tiempo de vida útil considera</w:t>
      </w:r>
      <w:r w:rsidR="009F0DAA">
        <w:rPr>
          <w:rFonts w:ascii="Arial" w:hAnsi="Arial" w:cs="Arial"/>
          <w:i/>
        </w:rPr>
        <w:t xml:space="preserve"> </w:t>
      </w:r>
      <w:r w:rsidRPr="006D369F">
        <w:rPr>
          <w:rFonts w:ascii="Arial" w:hAnsi="Arial" w:cs="Arial"/>
          <w:i/>
        </w:rPr>
        <w:t xml:space="preserve">un plazo adicional por beneficio siempre que ello sea técnicamente acreditado, hasta por un tiempo máximo de 2 años. En caso no se consigne en el instrumento de gestión ambiental la vida útil de </w:t>
      </w:r>
      <w:r w:rsidR="008C2F12">
        <w:rPr>
          <w:rFonts w:ascii="Arial" w:hAnsi="Arial" w:cs="Arial"/>
          <w:i/>
        </w:rPr>
        <w:t xml:space="preserve">la mina se entiende que es de </w:t>
      </w:r>
      <w:r w:rsidR="008C2F12" w:rsidRPr="00900B1A">
        <w:rPr>
          <w:rFonts w:ascii="Arial" w:hAnsi="Arial" w:cs="Arial"/>
          <w:i/>
        </w:rPr>
        <w:t>treinta</w:t>
      </w:r>
      <w:r w:rsidRPr="006D369F">
        <w:rPr>
          <w:rFonts w:ascii="Arial" w:hAnsi="Arial" w:cs="Arial"/>
          <w:i/>
        </w:rPr>
        <w:t xml:space="preserve"> años. Este plazo puede ser ampliado por el titular sustentado en su producción anual y las reservas probadas y probables</w:t>
      </w:r>
      <w:r w:rsidR="009F0DAA">
        <w:rPr>
          <w:rFonts w:ascii="Arial" w:hAnsi="Arial" w:cs="Arial"/>
          <w:i/>
        </w:rPr>
        <w:t>.</w:t>
      </w:r>
      <w:r w:rsidRPr="006D369F">
        <w:rPr>
          <w:rFonts w:ascii="Arial" w:hAnsi="Arial" w:cs="Arial"/>
          <w:i/>
        </w:rPr>
        <w:t xml:space="preserve"> </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 xml:space="preserve">En el caso de actividades de exploración minera se considera como vida útil un plazo máximo de cinco años, a menos que el titular de actividad minera acredite técnicamente un plazo mayor. </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 xml:space="preserve">Sin perjuicio de lo señalado en los artículos 31, 42, 46 y 63 del presente </w:t>
      </w:r>
      <w:r w:rsidRPr="006D369F">
        <w:rPr>
          <w:rFonts w:ascii="Arial" w:hAnsi="Arial" w:cs="Arial"/>
          <w:i/>
        </w:rPr>
        <w:lastRenderedPageBreak/>
        <w:t xml:space="preserve">Reglamento, para efectos del cálculo del monto de la garantía, el presupuesto de las medidas incluidas en el Plan de Cierre de Minas también </w:t>
      </w:r>
      <w:r w:rsidR="006F5AB0" w:rsidRPr="00900B1A">
        <w:rPr>
          <w:rFonts w:ascii="Arial" w:hAnsi="Arial" w:cs="Arial"/>
          <w:b/>
          <w:i/>
        </w:rPr>
        <w:t>puede</w:t>
      </w:r>
      <w:r w:rsidR="006F5AB0" w:rsidRPr="006D369F">
        <w:rPr>
          <w:rFonts w:ascii="Arial" w:hAnsi="Arial" w:cs="Arial"/>
          <w:i/>
        </w:rPr>
        <w:t xml:space="preserve"> </w:t>
      </w:r>
      <w:r w:rsidRPr="006D369F">
        <w:rPr>
          <w:rFonts w:ascii="Arial" w:hAnsi="Arial" w:cs="Arial"/>
          <w:i/>
        </w:rPr>
        <w:t xml:space="preserve">ser calculado a valor constante, a iniciativa del titular o de la autoridad. </w:t>
      </w:r>
    </w:p>
    <w:p w:rsidR="006F5AB0" w:rsidRPr="006D369F" w:rsidRDefault="006F5AB0" w:rsidP="006F5AB0">
      <w:pPr>
        <w:widowControl w:val="0"/>
        <w:autoSpaceDE w:val="0"/>
        <w:autoSpaceDN w:val="0"/>
        <w:adjustRightInd w:val="0"/>
        <w:spacing w:after="0" w:line="240" w:lineRule="auto"/>
        <w:ind w:firstLine="708"/>
        <w:jc w:val="both"/>
        <w:rPr>
          <w:rFonts w:ascii="Arial" w:hAnsi="Arial" w:cs="Arial"/>
          <w:i/>
        </w:rPr>
      </w:pP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La determinación del monto anual de la garantía se define al término del procedimiento de evaluación del Plan de Cierre indicado en el artículo 13, para cuyo efecto, una vez determinadas todas las medidas materia del Plan de Cierre, la Dirección General</w:t>
      </w:r>
      <w:r w:rsidR="00900B1A">
        <w:rPr>
          <w:rFonts w:ascii="Arial" w:hAnsi="Arial" w:cs="Arial"/>
          <w:i/>
        </w:rPr>
        <w:t xml:space="preserve"> de Asuntos Ambientales Mineros</w:t>
      </w:r>
      <w:r w:rsidR="006F5AB0" w:rsidRPr="006D369F">
        <w:rPr>
          <w:rFonts w:ascii="Arial" w:hAnsi="Arial" w:cs="Arial"/>
          <w:i/>
        </w:rPr>
        <w:t xml:space="preserve"> </w:t>
      </w:r>
      <w:r w:rsidR="006F5AB0" w:rsidRPr="00900B1A">
        <w:rPr>
          <w:rFonts w:ascii="Arial" w:hAnsi="Arial" w:cs="Arial"/>
          <w:b/>
          <w:i/>
        </w:rPr>
        <w:t>requiere</w:t>
      </w:r>
      <w:r w:rsidRPr="006D369F">
        <w:rPr>
          <w:rFonts w:ascii="Arial" w:hAnsi="Arial" w:cs="Arial"/>
          <w:i/>
        </w:rPr>
        <w:t xml:space="preserve"> al titular, la presentación del presupuesto y programa de constitución de garantías, detallados, a fin de establecer los montos anuales correspondientes. </w:t>
      </w:r>
    </w:p>
    <w:p w:rsidR="006F5AB0" w:rsidRPr="008C2F12" w:rsidRDefault="006F5AB0" w:rsidP="008C2F12">
      <w:pPr>
        <w:widowControl w:val="0"/>
        <w:autoSpaceDE w:val="0"/>
        <w:autoSpaceDN w:val="0"/>
        <w:adjustRightInd w:val="0"/>
        <w:spacing w:after="0" w:line="240" w:lineRule="auto"/>
        <w:ind w:firstLine="708"/>
        <w:jc w:val="both"/>
        <w:rPr>
          <w:rFonts w:ascii="Arial" w:hAnsi="Arial" w:cs="Arial"/>
          <w:color w:val="000000"/>
          <w:shd w:val="clear" w:color="auto" w:fill="FFFFFF"/>
        </w:rPr>
      </w:pPr>
      <w:r w:rsidRPr="006D369F">
        <w:rPr>
          <w:rFonts w:ascii="Arial" w:hAnsi="Arial" w:cs="Arial"/>
          <w:color w:val="000000"/>
          <w:shd w:val="clear" w:color="auto" w:fill="FFFFFF"/>
        </w:rPr>
        <w:t> </w:t>
      </w:r>
    </w:p>
    <w:p w:rsidR="006E6FD9" w:rsidRPr="006D369F" w:rsidRDefault="006E6FD9" w:rsidP="006F5AB0">
      <w:pPr>
        <w:widowControl w:val="0"/>
        <w:autoSpaceDE w:val="0"/>
        <w:autoSpaceDN w:val="0"/>
        <w:adjustRightInd w:val="0"/>
        <w:spacing w:after="0" w:line="240" w:lineRule="auto"/>
        <w:ind w:firstLine="708"/>
        <w:jc w:val="both"/>
        <w:rPr>
          <w:rFonts w:ascii="Arial" w:hAnsi="Arial" w:cs="Arial"/>
          <w:i/>
        </w:rPr>
      </w:pPr>
      <w:r w:rsidRPr="006D369F">
        <w:rPr>
          <w:rFonts w:ascii="Arial" w:hAnsi="Arial" w:cs="Arial"/>
          <w:i/>
        </w:rPr>
        <w:t>La interposición de recursos impugnativos a la resolución que pone término al procedimiento de evaluación del Plan de Cierre de Minas, no libera al titular de la obligación de ejecutar las medidas dispuestas en dicho instrumento, ni de efectuar el primer aporte del monto anual de la garantía dentro del plazo señalado en el artículo 50 de</w:t>
      </w:r>
      <w:r w:rsidR="00CA73BD" w:rsidRPr="006D369F">
        <w:rPr>
          <w:rFonts w:ascii="Arial" w:hAnsi="Arial" w:cs="Arial"/>
          <w:i/>
        </w:rPr>
        <w:t>l presente</w:t>
      </w:r>
      <w:r w:rsidRPr="006D369F">
        <w:rPr>
          <w:rFonts w:ascii="Arial" w:hAnsi="Arial" w:cs="Arial"/>
          <w:i/>
        </w:rPr>
        <w:t xml:space="preserve"> Reglamento</w:t>
      </w:r>
      <w:r w:rsidR="0017791D" w:rsidRPr="006D369F">
        <w:rPr>
          <w:rFonts w:ascii="Arial" w:hAnsi="Arial" w:cs="Arial"/>
          <w:i/>
        </w:rPr>
        <w:t>”</w:t>
      </w:r>
      <w:r w:rsidRPr="006D369F">
        <w:rPr>
          <w:rFonts w:ascii="Arial" w:hAnsi="Arial" w:cs="Arial"/>
          <w:i/>
        </w:rPr>
        <w:t>.</w:t>
      </w:r>
    </w:p>
    <w:p w:rsidR="006E6FD9" w:rsidRPr="006D369F" w:rsidRDefault="006E6FD9" w:rsidP="006F5AB0">
      <w:pPr>
        <w:widowControl w:val="0"/>
        <w:autoSpaceDE w:val="0"/>
        <w:autoSpaceDN w:val="0"/>
        <w:adjustRightInd w:val="0"/>
        <w:spacing w:after="0" w:line="240" w:lineRule="auto"/>
        <w:ind w:right="-1" w:hanging="10"/>
        <w:jc w:val="both"/>
        <w:rPr>
          <w:rFonts w:ascii="Arial" w:hAnsi="Arial" w:cs="Arial"/>
          <w:i/>
        </w:rPr>
      </w:pPr>
    </w:p>
    <w:p w:rsidR="00866346" w:rsidRPr="006D369F" w:rsidRDefault="00866346" w:rsidP="00940C54">
      <w:pPr>
        <w:pStyle w:val="Encabezado"/>
        <w:tabs>
          <w:tab w:val="clear" w:pos="4419"/>
          <w:tab w:val="clear" w:pos="8838"/>
        </w:tabs>
        <w:ind w:firstLine="709"/>
        <w:jc w:val="both"/>
        <w:rPr>
          <w:rFonts w:ascii="Arial" w:hAnsi="Arial" w:cs="Arial"/>
          <w:b/>
          <w:sz w:val="22"/>
          <w:szCs w:val="22"/>
        </w:rPr>
      </w:pPr>
      <w:r w:rsidRPr="006D369F">
        <w:rPr>
          <w:rFonts w:ascii="Arial" w:hAnsi="Arial" w:cs="Arial"/>
          <w:b/>
          <w:sz w:val="22"/>
          <w:szCs w:val="22"/>
        </w:rPr>
        <w:t xml:space="preserve">Artículo </w:t>
      </w:r>
      <w:r w:rsidR="00CA73BD" w:rsidRPr="006D369F">
        <w:rPr>
          <w:rFonts w:ascii="Arial" w:hAnsi="Arial" w:cs="Arial"/>
          <w:b/>
          <w:sz w:val="22"/>
          <w:szCs w:val="22"/>
        </w:rPr>
        <w:t>3</w:t>
      </w:r>
      <w:r w:rsidRPr="006D369F">
        <w:rPr>
          <w:rFonts w:ascii="Arial" w:hAnsi="Arial" w:cs="Arial"/>
          <w:b/>
          <w:sz w:val="22"/>
          <w:szCs w:val="22"/>
        </w:rPr>
        <w:t xml:space="preserve">.- Refrendo </w:t>
      </w:r>
    </w:p>
    <w:p w:rsidR="00866346" w:rsidRPr="006D369F" w:rsidRDefault="00866346" w:rsidP="006F5AB0">
      <w:pPr>
        <w:pStyle w:val="Encabezado"/>
        <w:tabs>
          <w:tab w:val="clear" w:pos="4419"/>
          <w:tab w:val="clear" w:pos="8838"/>
        </w:tabs>
        <w:ind w:firstLine="708"/>
        <w:jc w:val="both"/>
        <w:rPr>
          <w:rFonts w:ascii="Arial" w:hAnsi="Arial" w:cs="Arial"/>
          <w:sz w:val="22"/>
          <w:szCs w:val="22"/>
        </w:rPr>
      </w:pPr>
    </w:p>
    <w:p w:rsidR="00866346" w:rsidRPr="006D369F" w:rsidRDefault="00866346" w:rsidP="006F5AB0">
      <w:pPr>
        <w:pStyle w:val="Encabezado"/>
        <w:tabs>
          <w:tab w:val="clear" w:pos="4419"/>
          <w:tab w:val="clear" w:pos="8838"/>
        </w:tabs>
        <w:ind w:firstLine="708"/>
        <w:jc w:val="both"/>
        <w:rPr>
          <w:rFonts w:ascii="Arial" w:hAnsi="Arial" w:cs="Arial"/>
          <w:sz w:val="22"/>
          <w:szCs w:val="22"/>
        </w:rPr>
      </w:pPr>
      <w:r w:rsidRPr="006D369F">
        <w:rPr>
          <w:rFonts w:ascii="Arial" w:hAnsi="Arial" w:cs="Arial"/>
          <w:sz w:val="22"/>
          <w:szCs w:val="22"/>
        </w:rPr>
        <w:t>El presente Decreto Supremo es refrendado por</w:t>
      </w:r>
      <w:r w:rsidR="006F5F30">
        <w:rPr>
          <w:rFonts w:ascii="Arial" w:hAnsi="Arial" w:cs="Arial"/>
          <w:sz w:val="22"/>
          <w:szCs w:val="22"/>
        </w:rPr>
        <w:t xml:space="preserve"> la Ministra de Energía y Minas.</w:t>
      </w:r>
    </w:p>
    <w:p w:rsidR="00866346" w:rsidRDefault="00866346" w:rsidP="00DA5CE5">
      <w:pPr>
        <w:spacing w:after="0" w:line="240" w:lineRule="auto"/>
        <w:contextualSpacing/>
        <w:jc w:val="both"/>
        <w:rPr>
          <w:rFonts w:ascii="Arial" w:hAnsi="Arial" w:cs="Arial"/>
        </w:rPr>
      </w:pPr>
    </w:p>
    <w:p w:rsidR="00692529" w:rsidRDefault="00692529" w:rsidP="00DA5CE5">
      <w:pPr>
        <w:spacing w:after="0" w:line="240" w:lineRule="auto"/>
        <w:contextualSpacing/>
        <w:jc w:val="both"/>
        <w:rPr>
          <w:rFonts w:ascii="Arial" w:hAnsi="Arial" w:cs="Arial"/>
        </w:rPr>
      </w:pPr>
    </w:p>
    <w:p w:rsidR="00692529" w:rsidRDefault="00692529" w:rsidP="00DA5CE5">
      <w:pPr>
        <w:spacing w:after="0" w:line="240" w:lineRule="auto"/>
        <w:contextualSpacing/>
        <w:jc w:val="both"/>
        <w:rPr>
          <w:rFonts w:ascii="Arial" w:hAnsi="Arial" w:cs="Arial"/>
        </w:rPr>
      </w:pPr>
    </w:p>
    <w:p w:rsidR="00692529" w:rsidRPr="00692529" w:rsidRDefault="00692529" w:rsidP="00692529">
      <w:pPr>
        <w:spacing w:after="0" w:line="240" w:lineRule="auto"/>
        <w:contextualSpacing/>
        <w:jc w:val="center"/>
        <w:rPr>
          <w:rFonts w:ascii="Arial" w:hAnsi="Arial" w:cs="Arial"/>
          <w:b/>
        </w:rPr>
      </w:pPr>
      <w:r w:rsidRPr="00692529">
        <w:rPr>
          <w:rFonts w:ascii="Arial" w:hAnsi="Arial" w:cs="Arial"/>
          <w:b/>
        </w:rPr>
        <w:t>DISPOSICIÓN COMPLEMENTARIA FINAL</w:t>
      </w:r>
    </w:p>
    <w:p w:rsidR="00692529" w:rsidRDefault="00692529" w:rsidP="00692529">
      <w:pPr>
        <w:spacing w:after="0" w:line="240" w:lineRule="auto"/>
        <w:ind w:firstLine="708"/>
        <w:jc w:val="both"/>
        <w:rPr>
          <w:rFonts w:ascii="Arial" w:hAnsi="Arial" w:cs="Arial"/>
        </w:rPr>
      </w:pPr>
    </w:p>
    <w:p w:rsidR="00692529" w:rsidRDefault="00692529" w:rsidP="00692529">
      <w:pPr>
        <w:spacing w:after="0" w:line="240" w:lineRule="auto"/>
        <w:ind w:firstLine="708"/>
        <w:jc w:val="both"/>
        <w:rPr>
          <w:rFonts w:ascii="Arial" w:hAnsi="Arial" w:cs="Arial"/>
        </w:rPr>
      </w:pPr>
    </w:p>
    <w:p w:rsidR="009B4CB1" w:rsidRPr="00234864" w:rsidRDefault="009B4CB1" w:rsidP="00234864">
      <w:pPr>
        <w:ind w:firstLine="708"/>
        <w:jc w:val="both"/>
        <w:rPr>
          <w:rFonts w:ascii="Arial" w:hAnsi="Arial" w:cs="Arial"/>
          <w:b/>
        </w:rPr>
      </w:pPr>
      <w:r w:rsidRPr="00234864">
        <w:rPr>
          <w:rFonts w:ascii="Arial" w:hAnsi="Arial" w:cs="Arial"/>
          <w:b/>
        </w:rPr>
        <w:t>ÚNICA. Adecuación de componentes a la normatividad ambiental</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Por única vez y de manera excepcional, el/la Titular Minero/a de un proyecto o actividad en curso que, a la fecha de publicación de la presente norma, cuente con un instrumento de gestión ambiental vigente y haya construido componentes o realizado modificaciones al proyecto, sin haber obtenido de manera previa la aprobación correspondiente, debe comunicar dicho hecho ante la autoridad ambiental sectorial y la autoridad de supervisión y fiscalización ambiental, en el plazo máximo de treinta (30) días calendario, contados a partir de la fecha de publicación de la presente norma, detallando los componentes construidos sin aprobació</w:t>
      </w:r>
      <w:bookmarkStart w:id="0" w:name="_GoBack"/>
      <w:bookmarkEnd w:id="0"/>
      <w:r w:rsidRPr="009B4CB1">
        <w:rPr>
          <w:rFonts w:ascii="Arial" w:eastAsia="Times New Roman" w:hAnsi="Arial" w:cs="Arial"/>
          <w:lang w:val="es-ES" w:eastAsia="es-ES"/>
        </w:rPr>
        <w:t>n, a fin de adecuar los mismos a la normativa ambiental, sin perjuicio de las sanciones que pudieran corresponder.</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El/la titular Minero/a cuenta con ciento ochenta (180) días calendario, a partir de la comunicación a la autoridad ambiental sectorial y a la autoridad de supervisión y fiscalización ambiental, para presentar un Plan Ambiental Detallado (PA-d), el cual debe ser elaborado por una  consultora inscrita en el Registro Nacional de Consultoras Ambientales.</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 xml:space="preserve">Para la evaluación del PA-d, el/la Titular Minero/a debe haber cumplido con la comunicación a la que se refiere el primer párrafo de la presente disposición, desistirse previamente de cualquier impugnación ante la autoridad administrativa o judicial respecto de las actividades, proyectos o componentes a adecuarse; acreditar el pago de multas y/o el cumplimiento de las medidas administrativas que le imponga la autoridad de supervisión y fiscalización ambiental; así como no haberse acogido al proceso de adecuación de operaciones establecido en la Cuarta </w:t>
      </w:r>
      <w:r w:rsidRPr="009B4CB1">
        <w:rPr>
          <w:rFonts w:ascii="Arial" w:eastAsia="Times New Roman" w:hAnsi="Arial" w:cs="Arial"/>
          <w:lang w:val="es-ES" w:eastAsia="es-ES"/>
        </w:rPr>
        <w:lastRenderedPageBreak/>
        <w:t>Disposición Complementaria Final del Reglamento de Protección y Gestión Ambiental para las Actividades de Explotación, Beneficio, Labor General, Transporte y Almacenamiento Minero, aprobado por Decreto Supremo N°040-2014-EM.</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La evaluación del PA-d por parte de la autoridad ambiental sectorial, debe realizarse en un plazo no mayor de treinta (30) días hábiles y comprende la evaluación de los impactos y de la estabilidad del o los componentes construidos, así como las medidas de manejo ambiental ejecutadas y propuestas. El PA-d debe contener, como mínimo, lo siguiente:</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Datos de la unidad minera, representante legal y razón social.</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Antecedentes.</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Estado actual del área relacionada con los componentes materia de adecuación y corrección, la misma que debe mostrarse en un mapa en superposición con el área del proyecto que cuenta con certificación ambiental.</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Actividades y/o procesos y/o ampliaciones y/o componentes materia de adecuación.</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Descripción de la operación, mantenimiento y monitoreo ambiental de los proceso(s) y/o ampliación(es) y/o componentes por regularizar.</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Identificación, caracterización y evaluación de impactos producidos.</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Medidas de adecuación y corrección ambiental,  conteniendo objetivos de desempeño ambiental explícitos, metas y un cronograma de avance de cumplimiento.</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Medidas de prevención, mitigación, rehabilitación y eventual compensación que corresponda.</w:t>
      </w:r>
    </w:p>
    <w:p w:rsidR="009B4CB1" w:rsidRPr="009B4CB1" w:rsidRDefault="009B4CB1" w:rsidP="009B4CB1">
      <w:pPr>
        <w:pStyle w:val="Prrafodelista"/>
        <w:numPr>
          <w:ilvl w:val="0"/>
          <w:numId w:val="10"/>
        </w:numPr>
        <w:ind w:right="283"/>
        <w:jc w:val="both"/>
        <w:rPr>
          <w:rFonts w:ascii="Arial" w:eastAsia="Times New Roman" w:hAnsi="Arial" w:cs="Arial"/>
          <w:lang w:val="es-ES" w:eastAsia="es-ES"/>
        </w:rPr>
      </w:pPr>
      <w:r w:rsidRPr="009B4CB1">
        <w:rPr>
          <w:rFonts w:ascii="Arial" w:eastAsia="Times New Roman" w:hAnsi="Arial" w:cs="Arial"/>
          <w:lang w:val="es-ES" w:eastAsia="es-ES"/>
        </w:rPr>
        <w:t>Conclusiones del PA-d.</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La autoridad sectorial aprueba el PA-d de ser técnicamente viable y en tanto se determine que incluye las medidas de corrección, adecuación, prevención, mitigación, rehabilitación para llevar los impactos ambientales a niveles de aceptación tolerables, así como la eventual compensación y se asegure el cumplimiento de las normas que regulan el manejo de residuos sólidos, recursos hídricos, efluente, emisiones, suidos, suelos, conservación del patrimonio natural y cultural, zonificación, construcción y otras que pudieran corresponder. Para la emisión de la resolución de aprobación, la autoridad ambiental sectorial debe contar con el informe de verificación u otro documento que haga sus veces, emitido por la autoridad de supervisión y fiscalización; para lo cual si la autoridad de supervisión y fiscalización ambiental no lo hubiera remitido a la fecha de presentación del PA-d, la autoridad ambiental sectorial lo requerirá en dicha fecha.</w:t>
      </w:r>
    </w:p>
    <w:p w:rsidR="009B4CB1" w:rsidRPr="009B4CB1" w:rsidRDefault="009B4CB1" w:rsidP="009B4CB1">
      <w:pPr>
        <w:ind w:right="283"/>
        <w:jc w:val="both"/>
        <w:rPr>
          <w:rFonts w:ascii="Arial" w:eastAsia="Times New Roman" w:hAnsi="Arial" w:cs="Arial"/>
          <w:lang w:val="es-ES" w:eastAsia="es-ES"/>
        </w:rPr>
      </w:pPr>
      <w:r w:rsidRPr="009B4CB1">
        <w:rPr>
          <w:rFonts w:ascii="Arial" w:eastAsia="Times New Roman" w:hAnsi="Arial" w:cs="Arial"/>
          <w:lang w:val="es-ES" w:eastAsia="es-ES"/>
        </w:rPr>
        <w:t>En caso se desapruebe el PA-d o no se presente oportunamente, la autoridad de supervisión y fiscalización ambiental, en el marco de sus competencias y funciones, puede imponer las medidas administrativas que correspondan para controlar de manera efectiva los impactos negativos que se deriven de los componentes construidos, tales como el cierre o retiro de las infraestructuras realizadas, por cuenta y riesgo del/de la Titular Minero/a.</w:t>
      </w:r>
    </w:p>
    <w:p w:rsidR="00AB77C0" w:rsidRPr="006D369F" w:rsidRDefault="00AB77C0" w:rsidP="009B4CB1">
      <w:pPr>
        <w:spacing w:after="0" w:line="240" w:lineRule="auto"/>
        <w:ind w:right="80" w:firstLine="708"/>
        <w:jc w:val="both"/>
        <w:rPr>
          <w:rFonts w:ascii="Arial" w:hAnsi="Arial" w:cs="Arial"/>
        </w:rPr>
      </w:pPr>
    </w:p>
    <w:sectPr w:rsidR="00AB77C0" w:rsidRPr="006D369F" w:rsidSect="00046C76">
      <w:headerReference w:type="default" r:id="rId8"/>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A9" w:rsidRDefault="00A428A9">
      <w:pPr>
        <w:spacing w:after="0" w:line="240" w:lineRule="auto"/>
      </w:pPr>
      <w:r>
        <w:separator/>
      </w:r>
    </w:p>
  </w:endnote>
  <w:endnote w:type="continuationSeparator" w:id="0">
    <w:p w:rsidR="00A428A9" w:rsidRDefault="00A4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A9" w:rsidRDefault="00A428A9">
      <w:pPr>
        <w:spacing w:after="0" w:line="240" w:lineRule="auto"/>
      </w:pPr>
      <w:r>
        <w:separator/>
      </w:r>
    </w:p>
  </w:footnote>
  <w:footnote w:type="continuationSeparator" w:id="0">
    <w:p w:rsidR="00A428A9" w:rsidRDefault="00A4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1" w:rsidRDefault="00866346">
    <w:pPr>
      <w:widowControl w:val="0"/>
      <w:autoSpaceDE w:val="0"/>
      <w:autoSpaceDN w:val="0"/>
      <w:adjustRightInd w:val="0"/>
      <w:spacing w:after="0" w:line="16" w:lineRule="exact"/>
      <w:rPr>
        <w:rFonts w:ascii="Times New Roman" w:hAnsi="Times New Roman"/>
        <w:sz w:val="2"/>
        <w:szCs w:val="2"/>
      </w:rPr>
    </w:pPr>
    <w:r>
      <w:rPr>
        <w:noProof/>
        <w:lang w:val="es-ES" w:eastAsia="es-ES"/>
      </w:rPr>
      <mc:AlternateContent>
        <mc:Choice Requires="wps">
          <w:drawing>
            <wp:anchor distT="0" distB="0" distL="114300" distR="114300" simplePos="0" relativeHeight="251659264" behindDoc="1" locked="0" layoutInCell="0" allowOverlap="1">
              <wp:simplePos x="0" y="0"/>
              <wp:positionH relativeFrom="page">
                <wp:posOffset>60325</wp:posOffset>
              </wp:positionH>
              <wp:positionV relativeFrom="page">
                <wp:posOffset>5715</wp:posOffset>
              </wp:positionV>
              <wp:extent cx="7499350" cy="12700"/>
              <wp:effectExtent l="0" t="0" r="25400" b="6350"/>
              <wp:wrapNone/>
              <wp:docPr id="1" name="Forma lib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499350" cy="12700"/>
                      </a:xfrm>
                      <a:custGeom>
                        <a:avLst/>
                        <a:gdLst>
                          <a:gd name="T0" fmla="*/ 0 w 11810"/>
                          <a:gd name="T1" fmla="*/ 0 h 20"/>
                          <a:gd name="T2" fmla="*/ 11809 w 11810"/>
                          <a:gd name="T3" fmla="*/ 0 h 20"/>
                        </a:gdLst>
                        <a:ahLst/>
                        <a:cxnLst>
                          <a:cxn ang="0">
                            <a:pos x="T0" y="T1"/>
                          </a:cxn>
                          <a:cxn ang="0">
                            <a:pos x="T2" y="T3"/>
                          </a:cxn>
                        </a:cxnLst>
                        <a:rect l="0" t="0" r="r" b="b"/>
                        <a:pathLst>
                          <a:path w="11810" h="20">
                            <a:moveTo>
                              <a:pt x="0" y="0"/>
                            </a:moveTo>
                            <a:lnTo>
                              <a:pt x="11809" y="0"/>
                            </a:lnTo>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id="Forma libr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pt,.45pt,595.2pt,.45pt" coordsize="11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" o:allowincell="f" filled="f" strokeweight=".25392mm">
              <v:path arrowok="t" o:connecttype="custom" o:connectlocs="0,0;7498715,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396"/>
    <w:multiLevelType w:val="multilevel"/>
    <w:tmpl w:val="D9089992"/>
    <w:styleLink w:val="Estilo1"/>
    <w:lvl w:ilvl="0">
      <w:start w:val="3"/>
      <w:numFmt w:val="none"/>
      <w:lvlText w:val="3.1"/>
      <w:lvlJc w:val="left"/>
      <w:pPr>
        <w:ind w:left="720" w:hanging="360"/>
      </w:pPr>
      <w:rPr>
        <w:rFonts w:ascii="Times New Roman" w:hAnsi="Times New Roman" w:hint="default"/>
        <w:color w:val="auto"/>
        <w:sz w:val="16"/>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7F0FAF"/>
    <w:multiLevelType w:val="hybridMultilevel"/>
    <w:tmpl w:val="161ECF3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D410AC2"/>
    <w:multiLevelType w:val="multilevel"/>
    <w:tmpl w:val="D98C5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E13170"/>
    <w:multiLevelType w:val="hybridMultilevel"/>
    <w:tmpl w:val="939422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89519BB"/>
    <w:multiLevelType w:val="hybridMultilevel"/>
    <w:tmpl w:val="2B081624"/>
    <w:lvl w:ilvl="0" w:tplc="B0066460">
      <w:start w:val="1"/>
      <w:numFmt w:val="lowerRoman"/>
      <w:lvlText w:val="%1."/>
      <w:lvlJc w:val="right"/>
      <w:pPr>
        <w:ind w:left="994" w:hanging="360"/>
      </w:pPr>
      <w:rPr>
        <w:rFonts w:ascii="Arial" w:eastAsia="Calibri" w:hAnsi="Arial" w:cs="Arial"/>
      </w:rPr>
    </w:lvl>
    <w:lvl w:ilvl="1" w:tplc="D780FEDE">
      <w:start w:val="1"/>
      <w:numFmt w:val="lowerRoman"/>
      <w:lvlText w:val="%2."/>
      <w:lvlJc w:val="right"/>
      <w:pPr>
        <w:ind w:left="1714" w:hanging="360"/>
      </w:pPr>
      <w:rPr>
        <w:rFonts w:hint="default"/>
      </w:r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5">
    <w:nsid w:val="3A4930C8"/>
    <w:multiLevelType w:val="hybridMultilevel"/>
    <w:tmpl w:val="6BC01470"/>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nsid w:val="4C245151"/>
    <w:multiLevelType w:val="hybridMultilevel"/>
    <w:tmpl w:val="509E2E10"/>
    <w:lvl w:ilvl="0" w:tplc="95BCE54E">
      <w:start w:val="1"/>
      <w:numFmt w:val="decimal"/>
      <w:lvlText w:val="%1."/>
      <w:lvlJc w:val="left"/>
      <w:pPr>
        <w:ind w:left="720" w:hanging="360"/>
      </w:pPr>
      <w:rPr>
        <w:rFonts w:ascii="Arial" w:hAnsi="Arial" w:cs="Arial" w:hint="default"/>
        <w:i/>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CA30CB"/>
    <w:multiLevelType w:val="hybridMultilevel"/>
    <w:tmpl w:val="DC7AF7A6"/>
    <w:lvl w:ilvl="0" w:tplc="280A001B">
      <w:start w:val="1"/>
      <w:numFmt w:val="lowerRoman"/>
      <w:lvlText w:val="%1."/>
      <w:lvlJc w:val="right"/>
      <w:pPr>
        <w:ind w:left="994" w:hanging="360"/>
      </w:pPr>
    </w:lvl>
    <w:lvl w:ilvl="1" w:tplc="280A001B">
      <w:start w:val="1"/>
      <w:numFmt w:val="lowerRoman"/>
      <w:lvlText w:val="%2."/>
      <w:lvlJc w:val="right"/>
      <w:pPr>
        <w:ind w:left="1714" w:hanging="360"/>
      </w:pPr>
    </w:lvl>
    <w:lvl w:ilvl="2" w:tplc="280A001B">
      <w:start w:val="1"/>
      <w:numFmt w:val="lowerRoman"/>
      <w:lvlText w:val="%3."/>
      <w:lvlJc w:val="right"/>
      <w:pPr>
        <w:ind w:left="889" w:hanging="180"/>
      </w:pPr>
    </w:lvl>
    <w:lvl w:ilvl="3" w:tplc="6666AC72">
      <w:start w:val="1"/>
      <w:numFmt w:val="decimal"/>
      <w:lvlText w:val="%4."/>
      <w:lvlJc w:val="left"/>
      <w:pPr>
        <w:ind w:left="3154" w:hanging="360"/>
      </w:pPr>
      <w:rPr>
        <w:rFonts w:hint="default"/>
      </w:rPr>
    </w:lvl>
    <w:lvl w:ilvl="4" w:tplc="486819BE">
      <w:start w:val="1"/>
      <w:numFmt w:val="lowerRoman"/>
      <w:lvlText w:val="%5)"/>
      <w:lvlJc w:val="left"/>
      <w:pPr>
        <w:ind w:left="4234" w:hanging="720"/>
      </w:pPr>
      <w:rPr>
        <w:rFonts w:hint="default"/>
      </w:r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8">
    <w:nsid w:val="57A46C6C"/>
    <w:multiLevelType w:val="hybridMultilevel"/>
    <w:tmpl w:val="3398D4CC"/>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715D455D"/>
    <w:multiLevelType w:val="hybridMultilevel"/>
    <w:tmpl w:val="02E69CB8"/>
    <w:lvl w:ilvl="0" w:tplc="9F0E5F72">
      <w:start w:val="1"/>
      <w:numFmt w:val="decimal"/>
      <w:lvlText w:val="%1."/>
      <w:lvlJc w:val="left"/>
      <w:pPr>
        <w:ind w:left="370" w:hanging="360"/>
      </w:pPr>
      <w:rPr>
        <w:rFonts w:hint="default"/>
      </w:rPr>
    </w:lvl>
    <w:lvl w:ilvl="1" w:tplc="280A0019" w:tentative="1">
      <w:start w:val="1"/>
      <w:numFmt w:val="lowerLetter"/>
      <w:lvlText w:val="%2."/>
      <w:lvlJc w:val="left"/>
      <w:pPr>
        <w:ind w:left="1090" w:hanging="360"/>
      </w:pPr>
    </w:lvl>
    <w:lvl w:ilvl="2" w:tplc="280A001B" w:tentative="1">
      <w:start w:val="1"/>
      <w:numFmt w:val="lowerRoman"/>
      <w:lvlText w:val="%3."/>
      <w:lvlJc w:val="right"/>
      <w:pPr>
        <w:ind w:left="1810" w:hanging="180"/>
      </w:pPr>
    </w:lvl>
    <w:lvl w:ilvl="3" w:tplc="280A000F" w:tentative="1">
      <w:start w:val="1"/>
      <w:numFmt w:val="decimal"/>
      <w:lvlText w:val="%4."/>
      <w:lvlJc w:val="left"/>
      <w:pPr>
        <w:ind w:left="2530" w:hanging="360"/>
      </w:pPr>
    </w:lvl>
    <w:lvl w:ilvl="4" w:tplc="280A0019" w:tentative="1">
      <w:start w:val="1"/>
      <w:numFmt w:val="lowerLetter"/>
      <w:lvlText w:val="%5."/>
      <w:lvlJc w:val="left"/>
      <w:pPr>
        <w:ind w:left="3250" w:hanging="360"/>
      </w:pPr>
    </w:lvl>
    <w:lvl w:ilvl="5" w:tplc="280A001B" w:tentative="1">
      <w:start w:val="1"/>
      <w:numFmt w:val="lowerRoman"/>
      <w:lvlText w:val="%6."/>
      <w:lvlJc w:val="right"/>
      <w:pPr>
        <w:ind w:left="3970" w:hanging="180"/>
      </w:pPr>
    </w:lvl>
    <w:lvl w:ilvl="6" w:tplc="280A000F" w:tentative="1">
      <w:start w:val="1"/>
      <w:numFmt w:val="decimal"/>
      <w:lvlText w:val="%7."/>
      <w:lvlJc w:val="left"/>
      <w:pPr>
        <w:ind w:left="4690" w:hanging="360"/>
      </w:pPr>
    </w:lvl>
    <w:lvl w:ilvl="7" w:tplc="280A0019" w:tentative="1">
      <w:start w:val="1"/>
      <w:numFmt w:val="lowerLetter"/>
      <w:lvlText w:val="%8."/>
      <w:lvlJc w:val="left"/>
      <w:pPr>
        <w:ind w:left="5410" w:hanging="360"/>
      </w:pPr>
    </w:lvl>
    <w:lvl w:ilvl="8" w:tplc="280A001B" w:tentative="1">
      <w:start w:val="1"/>
      <w:numFmt w:val="lowerRoman"/>
      <w:lvlText w:val="%9."/>
      <w:lvlJc w:val="right"/>
      <w:pPr>
        <w:ind w:left="6130" w:hanging="180"/>
      </w:pPr>
    </w:lvl>
  </w:abstractNum>
  <w:num w:numId="1">
    <w:abstractNumId w:val="0"/>
  </w:num>
  <w:num w:numId="2">
    <w:abstractNumId w:val="7"/>
  </w:num>
  <w:num w:numId="3">
    <w:abstractNumId w:val="4"/>
  </w:num>
  <w:num w:numId="4">
    <w:abstractNumId w:val="5"/>
  </w:num>
  <w:num w:numId="5">
    <w:abstractNumId w:val="8"/>
  </w:num>
  <w:num w:numId="6">
    <w:abstractNumId w:val="9"/>
  </w:num>
  <w:num w:numId="7">
    <w:abstractNumId w:val="6"/>
  </w:num>
  <w:num w:numId="8">
    <w:abstractNumId w:val="3"/>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Sosa">
    <w15:presenceInfo w15:providerId="Windows Live" w15:userId="daddfbd41d512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46"/>
    <w:rsid w:val="000310C8"/>
    <w:rsid w:val="0003705F"/>
    <w:rsid w:val="00040592"/>
    <w:rsid w:val="00041BCF"/>
    <w:rsid w:val="00046C76"/>
    <w:rsid w:val="000B2359"/>
    <w:rsid w:val="000E357A"/>
    <w:rsid w:val="000F4DA0"/>
    <w:rsid w:val="000F76C4"/>
    <w:rsid w:val="001274BC"/>
    <w:rsid w:val="00157001"/>
    <w:rsid w:val="00165490"/>
    <w:rsid w:val="001706E1"/>
    <w:rsid w:val="0017791D"/>
    <w:rsid w:val="0018457D"/>
    <w:rsid w:val="001A33BE"/>
    <w:rsid w:val="001B782A"/>
    <w:rsid w:val="001D12EC"/>
    <w:rsid w:val="001E72E4"/>
    <w:rsid w:val="001F31A5"/>
    <w:rsid w:val="001F7498"/>
    <w:rsid w:val="00215526"/>
    <w:rsid w:val="00234864"/>
    <w:rsid w:val="00234DC9"/>
    <w:rsid w:val="002420B8"/>
    <w:rsid w:val="00245DC2"/>
    <w:rsid w:val="00246FFE"/>
    <w:rsid w:val="00263A47"/>
    <w:rsid w:val="002D6CB0"/>
    <w:rsid w:val="002E78EC"/>
    <w:rsid w:val="002F0ACB"/>
    <w:rsid w:val="002F3490"/>
    <w:rsid w:val="00304740"/>
    <w:rsid w:val="00306828"/>
    <w:rsid w:val="003444EE"/>
    <w:rsid w:val="003B268A"/>
    <w:rsid w:val="003D626F"/>
    <w:rsid w:val="0046168B"/>
    <w:rsid w:val="004B76E7"/>
    <w:rsid w:val="004C2567"/>
    <w:rsid w:val="004D114F"/>
    <w:rsid w:val="0053251A"/>
    <w:rsid w:val="00587200"/>
    <w:rsid w:val="005A2EEE"/>
    <w:rsid w:val="005B72DD"/>
    <w:rsid w:val="005C2F34"/>
    <w:rsid w:val="005C5AA1"/>
    <w:rsid w:val="005E78A6"/>
    <w:rsid w:val="005F3999"/>
    <w:rsid w:val="0066735D"/>
    <w:rsid w:val="00677CF9"/>
    <w:rsid w:val="00686C96"/>
    <w:rsid w:val="00692529"/>
    <w:rsid w:val="006B00A4"/>
    <w:rsid w:val="006B3B40"/>
    <w:rsid w:val="006B7B1F"/>
    <w:rsid w:val="006C66B0"/>
    <w:rsid w:val="006D369F"/>
    <w:rsid w:val="006E6FD9"/>
    <w:rsid w:val="006F5AB0"/>
    <w:rsid w:val="006F5F30"/>
    <w:rsid w:val="007040A4"/>
    <w:rsid w:val="007225DC"/>
    <w:rsid w:val="00745155"/>
    <w:rsid w:val="007716C1"/>
    <w:rsid w:val="007C7D78"/>
    <w:rsid w:val="007E609D"/>
    <w:rsid w:val="00817DA3"/>
    <w:rsid w:val="008259E8"/>
    <w:rsid w:val="00865AD9"/>
    <w:rsid w:val="00866346"/>
    <w:rsid w:val="00877878"/>
    <w:rsid w:val="008907B9"/>
    <w:rsid w:val="008933C3"/>
    <w:rsid w:val="008A6F94"/>
    <w:rsid w:val="008B2CF6"/>
    <w:rsid w:val="008C2F12"/>
    <w:rsid w:val="00900B1A"/>
    <w:rsid w:val="00925425"/>
    <w:rsid w:val="00940752"/>
    <w:rsid w:val="00940C54"/>
    <w:rsid w:val="00942230"/>
    <w:rsid w:val="009669F1"/>
    <w:rsid w:val="009B08F2"/>
    <w:rsid w:val="009B4CB1"/>
    <w:rsid w:val="009F0DAA"/>
    <w:rsid w:val="00A329AC"/>
    <w:rsid w:val="00A428A9"/>
    <w:rsid w:val="00A90290"/>
    <w:rsid w:val="00AB7613"/>
    <w:rsid w:val="00AB77C0"/>
    <w:rsid w:val="00B26F22"/>
    <w:rsid w:val="00B57334"/>
    <w:rsid w:val="00BF4EF7"/>
    <w:rsid w:val="00C10434"/>
    <w:rsid w:val="00C702EB"/>
    <w:rsid w:val="00C855F5"/>
    <w:rsid w:val="00C860A8"/>
    <w:rsid w:val="00CA73BD"/>
    <w:rsid w:val="00D0072F"/>
    <w:rsid w:val="00D27161"/>
    <w:rsid w:val="00D47386"/>
    <w:rsid w:val="00D7507F"/>
    <w:rsid w:val="00D8747C"/>
    <w:rsid w:val="00D97214"/>
    <w:rsid w:val="00DA5CE5"/>
    <w:rsid w:val="00DE6814"/>
    <w:rsid w:val="00E0421E"/>
    <w:rsid w:val="00E462C7"/>
    <w:rsid w:val="00E54C0E"/>
    <w:rsid w:val="00E9592F"/>
    <w:rsid w:val="00EC7BFF"/>
    <w:rsid w:val="00F43684"/>
    <w:rsid w:val="00F70E96"/>
    <w:rsid w:val="00F74D3B"/>
    <w:rsid w:val="00FB0A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4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DE6814"/>
    <w:pPr>
      <w:numPr>
        <w:numId w:val="1"/>
      </w:numPr>
    </w:pPr>
  </w:style>
  <w:style w:type="paragraph" w:styleId="Encabezado">
    <w:name w:val="header"/>
    <w:basedOn w:val="Normal"/>
    <w:link w:val="EncabezadoCar"/>
    <w:unhideWhenUsed/>
    <w:rsid w:val="00866346"/>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86634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66346"/>
    <w:pPr>
      <w:ind w:left="720"/>
      <w:contextualSpacing/>
    </w:pPr>
  </w:style>
  <w:style w:type="paragraph" w:customStyle="1" w:styleId="Default">
    <w:name w:val="Default"/>
    <w:rsid w:val="00866346"/>
    <w:pPr>
      <w:autoSpaceDE w:val="0"/>
      <w:autoSpaceDN w:val="0"/>
      <w:adjustRightInd w:val="0"/>
      <w:spacing w:after="0" w:line="240" w:lineRule="auto"/>
    </w:pPr>
    <w:rPr>
      <w:rFonts w:ascii="Arial" w:eastAsia="Calibri" w:hAnsi="Arial" w:cs="Arial"/>
      <w:color w:val="000000"/>
      <w:sz w:val="24"/>
      <w:szCs w:val="24"/>
      <w:lang w:eastAsia="es-PE"/>
    </w:rPr>
  </w:style>
  <w:style w:type="paragraph" w:styleId="Ttulo">
    <w:name w:val="Title"/>
    <w:basedOn w:val="Normal"/>
    <w:link w:val="TtuloCar"/>
    <w:qFormat/>
    <w:rsid w:val="00866346"/>
    <w:pPr>
      <w:spacing w:after="0" w:line="240" w:lineRule="auto"/>
      <w:jc w:val="center"/>
    </w:pPr>
    <w:rPr>
      <w:rFonts w:ascii="Times New Roman" w:eastAsia="Times New Roman" w:hAnsi="Times New Roman"/>
      <w:color w:val="000080"/>
      <w:sz w:val="32"/>
      <w:szCs w:val="24"/>
      <w:lang w:val="es-ES" w:eastAsia="es-ES"/>
    </w:rPr>
  </w:style>
  <w:style w:type="character" w:customStyle="1" w:styleId="TtuloCar">
    <w:name w:val="Título Car"/>
    <w:basedOn w:val="Fuentedeprrafopredeter"/>
    <w:link w:val="Ttulo"/>
    <w:rsid w:val="00866346"/>
    <w:rPr>
      <w:rFonts w:ascii="Times New Roman" w:eastAsia="Times New Roman" w:hAnsi="Times New Roman" w:cs="Times New Roman"/>
      <w:color w:val="000080"/>
      <w:sz w:val="32"/>
      <w:szCs w:val="24"/>
      <w:lang w:val="es-ES" w:eastAsia="es-ES"/>
    </w:rPr>
  </w:style>
  <w:style w:type="paragraph" w:styleId="Textodeglobo">
    <w:name w:val="Balloon Text"/>
    <w:basedOn w:val="Normal"/>
    <w:link w:val="TextodegloboCar"/>
    <w:uiPriority w:val="99"/>
    <w:semiHidden/>
    <w:unhideWhenUsed/>
    <w:rsid w:val="00F74D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D3B"/>
    <w:rPr>
      <w:rFonts w:ascii="Tahoma" w:eastAsia="Calibri" w:hAnsi="Tahoma" w:cs="Tahoma"/>
      <w:sz w:val="16"/>
      <w:szCs w:val="16"/>
    </w:rPr>
  </w:style>
  <w:style w:type="paragraph" w:customStyle="1" w:styleId="s3">
    <w:name w:val="s3"/>
    <w:basedOn w:val="Normal"/>
    <w:rsid w:val="00B57334"/>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5">
    <w:name w:val="s5"/>
    <w:basedOn w:val="Fuentedeprrafopredeter"/>
    <w:rsid w:val="00B57334"/>
  </w:style>
  <w:style w:type="character" w:customStyle="1" w:styleId="apple-converted-space">
    <w:name w:val="apple-converted-space"/>
    <w:basedOn w:val="Fuentedeprrafopredeter"/>
    <w:rsid w:val="00B57334"/>
  </w:style>
  <w:style w:type="paragraph" w:styleId="NormalWeb">
    <w:name w:val="Normal (Web)"/>
    <w:basedOn w:val="Normal"/>
    <w:uiPriority w:val="99"/>
    <w:unhideWhenUsed/>
    <w:rsid w:val="00FB0A4D"/>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4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
    <w:name w:val="Estilo1"/>
    <w:uiPriority w:val="99"/>
    <w:rsid w:val="00DE6814"/>
    <w:pPr>
      <w:numPr>
        <w:numId w:val="1"/>
      </w:numPr>
    </w:pPr>
  </w:style>
  <w:style w:type="paragraph" w:styleId="Encabezado">
    <w:name w:val="header"/>
    <w:basedOn w:val="Normal"/>
    <w:link w:val="EncabezadoCar"/>
    <w:unhideWhenUsed/>
    <w:rsid w:val="00866346"/>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86634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66346"/>
    <w:pPr>
      <w:ind w:left="720"/>
      <w:contextualSpacing/>
    </w:pPr>
  </w:style>
  <w:style w:type="paragraph" w:customStyle="1" w:styleId="Default">
    <w:name w:val="Default"/>
    <w:rsid w:val="00866346"/>
    <w:pPr>
      <w:autoSpaceDE w:val="0"/>
      <w:autoSpaceDN w:val="0"/>
      <w:adjustRightInd w:val="0"/>
      <w:spacing w:after="0" w:line="240" w:lineRule="auto"/>
    </w:pPr>
    <w:rPr>
      <w:rFonts w:ascii="Arial" w:eastAsia="Calibri" w:hAnsi="Arial" w:cs="Arial"/>
      <w:color w:val="000000"/>
      <w:sz w:val="24"/>
      <w:szCs w:val="24"/>
      <w:lang w:eastAsia="es-PE"/>
    </w:rPr>
  </w:style>
  <w:style w:type="paragraph" w:styleId="Ttulo">
    <w:name w:val="Title"/>
    <w:basedOn w:val="Normal"/>
    <w:link w:val="TtuloCar"/>
    <w:qFormat/>
    <w:rsid w:val="00866346"/>
    <w:pPr>
      <w:spacing w:after="0" w:line="240" w:lineRule="auto"/>
      <w:jc w:val="center"/>
    </w:pPr>
    <w:rPr>
      <w:rFonts w:ascii="Times New Roman" w:eastAsia="Times New Roman" w:hAnsi="Times New Roman"/>
      <w:color w:val="000080"/>
      <w:sz w:val="32"/>
      <w:szCs w:val="24"/>
      <w:lang w:val="es-ES" w:eastAsia="es-ES"/>
    </w:rPr>
  </w:style>
  <w:style w:type="character" w:customStyle="1" w:styleId="TtuloCar">
    <w:name w:val="Título Car"/>
    <w:basedOn w:val="Fuentedeprrafopredeter"/>
    <w:link w:val="Ttulo"/>
    <w:rsid w:val="00866346"/>
    <w:rPr>
      <w:rFonts w:ascii="Times New Roman" w:eastAsia="Times New Roman" w:hAnsi="Times New Roman" w:cs="Times New Roman"/>
      <w:color w:val="000080"/>
      <w:sz w:val="32"/>
      <w:szCs w:val="24"/>
      <w:lang w:val="es-ES" w:eastAsia="es-ES"/>
    </w:rPr>
  </w:style>
  <w:style w:type="paragraph" w:styleId="Textodeglobo">
    <w:name w:val="Balloon Text"/>
    <w:basedOn w:val="Normal"/>
    <w:link w:val="TextodegloboCar"/>
    <w:uiPriority w:val="99"/>
    <w:semiHidden/>
    <w:unhideWhenUsed/>
    <w:rsid w:val="00F74D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D3B"/>
    <w:rPr>
      <w:rFonts w:ascii="Tahoma" w:eastAsia="Calibri" w:hAnsi="Tahoma" w:cs="Tahoma"/>
      <w:sz w:val="16"/>
      <w:szCs w:val="16"/>
    </w:rPr>
  </w:style>
  <w:style w:type="paragraph" w:customStyle="1" w:styleId="s3">
    <w:name w:val="s3"/>
    <w:basedOn w:val="Normal"/>
    <w:rsid w:val="00B57334"/>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5">
    <w:name w:val="s5"/>
    <w:basedOn w:val="Fuentedeprrafopredeter"/>
    <w:rsid w:val="00B57334"/>
  </w:style>
  <w:style w:type="character" w:customStyle="1" w:styleId="apple-converted-space">
    <w:name w:val="apple-converted-space"/>
    <w:basedOn w:val="Fuentedeprrafopredeter"/>
    <w:rsid w:val="00B57334"/>
  </w:style>
  <w:style w:type="paragraph" w:styleId="NormalWeb">
    <w:name w:val="Normal (Web)"/>
    <w:basedOn w:val="Normal"/>
    <w:uiPriority w:val="99"/>
    <w:unhideWhenUsed/>
    <w:rsid w:val="00FB0A4D"/>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Cruz Suazo Elvis</dc:creator>
  <cp:lastModifiedBy>Candela Veliz Celia Mariela Mercedes</cp:lastModifiedBy>
  <cp:revision>4</cp:revision>
  <cp:lastPrinted>2017-12-19T20:07:00Z</cp:lastPrinted>
  <dcterms:created xsi:type="dcterms:W3CDTF">2017-12-20T21:14:00Z</dcterms:created>
  <dcterms:modified xsi:type="dcterms:W3CDTF">2017-12-20T21:26:00Z</dcterms:modified>
</cp:coreProperties>
</file>