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8E97" w14:textId="77777777" w:rsidR="00D17770" w:rsidRPr="00990CB0" w:rsidRDefault="00D17770" w:rsidP="00E74CA5">
      <w:pPr>
        <w:spacing w:after="0" w:line="240" w:lineRule="auto"/>
        <w:jc w:val="center"/>
        <w:rPr>
          <w:rFonts w:ascii="Arial" w:hAnsi="Arial" w:cs="Arial"/>
          <w:b/>
          <w:bCs/>
          <w:sz w:val="20"/>
          <w:szCs w:val="20"/>
        </w:rPr>
      </w:pPr>
      <w:r w:rsidRPr="00990CB0">
        <w:rPr>
          <w:rFonts w:ascii="Arial" w:hAnsi="Arial" w:cs="Arial"/>
          <w:b/>
          <w:bCs/>
          <w:sz w:val="20"/>
          <w:szCs w:val="20"/>
        </w:rPr>
        <w:t xml:space="preserve">EXPOSICIÓN DE MOTIVOS </w:t>
      </w:r>
    </w:p>
    <w:p w14:paraId="691EFE2F" w14:textId="77777777" w:rsidR="00654B57" w:rsidRPr="00990CB0" w:rsidRDefault="00654B57" w:rsidP="00E74CA5">
      <w:pPr>
        <w:spacing w:after="0" w:line="240" w:lineRule="auto"/>
        <w:jc w:val="center"/>
        <w:rPr>
          <w:rFonts w:ascii="Arial" w:hAnsi="Arial" w:cs="Arial"/>
          <w:b/>
          <w:bCs/>
          <w:sz w:val="20"/>
          <w:szCs w:val="20"/>
        </w:rPr>
      </w:pPr>
    </w:p>
    <w:p w14:paraId="650A4E47" w14:textId="77777777" w:rsidR="00D17770" w:rsidRPr="00990CB0" w:rsidRDefault="00D17770" w:rsidP="00E74CA5">
      <w:pPr>
        <w:pStyle w:val="Prrafodelista"/>
        <w:numPr>
          <w:ilvl w:val="0"/>
          <w:numId w:val="1"/>
        </w:numPr>
        <w:spacing w:after="0" w:line="240" w:lineRule="auto"/>
        <w:ind w:left="426" w:hanging="426"/>
        <w:jc w:val="both"/>
        <w:rPr>
          <w:rFonts w:ascii="Arial" w:hAnsi="Arial" w:cs="Arial"/>
          <w:b/>
          <w:bCs/>
          <w:sz w:val="20"/>
          <w:szCs w:val="20"/>
        </w:rPr>
      </w:pPr>
      <w:r w:rsidRPr="00990CB0">
        <w:rPr>
          <w:rFonts w:ascii="Arial" w:hAnsi="Arial" w:cs="Arial"/>
          <w:b/>
          <w:bCs/>
          <w:sz w:val="20"/>
          <w:szCs w:val="20"/>
        </w:rPr>
        <w:t xml:space="preserve">ANTECEDENTES </w:t>
      </w:r>
    </w:p>
    <w:p w14:paraId="5769E7A3" w14:textId="77777777" w:rsidR="00E74CA5" w:rsidRPr="00990CB0" w:rsidRDefault="00E74CA5" w:rsidP="00E74CA5">
      <w:pPr>
        <w:pStyle w:val="Prrafodelista"/>
        <w:spacing w:after="0" w:line="240" w:lineRule="auto"/>
        <w:ind w:left="426"/>
        <w:jc w:val="both"/>
        <w:rPr>
          <w:rFonts w:ascii="Arial" w:hAnsi="Arial" w:cs="Arial"/>
          <w:b/>
          <w:bCs/>
          <w:sz w:val="20"/>
          <w:szCs w:val="20"/>
        </w:rPr>
      </w:pPr>
    </w:p>
    <w:p w14:paraId="14E83CFF" w14:textId="060AFD24" w:rsidR="002A23A5" w:rsidRPr="00990CB0" w:rsidRDefault="002A23A5" w:rsidP="00E74CA5">
      <w:pPr>
        <w:spacing w:after="0" w:line="240" w:lineRule="auto"/>
        <w:jc w:val="both"/>
        <w:outlineLvl w:val="0"/>
        <w:rPr>
          <w:rFonts w:ascii="Arial" w:eastAsia="Times New Roman" w:hAnsi="Arial" w:cs="Arial"/>
          <w:b/>
          <w:bCs/>
          <w:kern w:val="36"/>
          <w:sz w:val="20"/>
          <w:szCs w:val="20"/>
          <w:lang w:val="es-ES"/>
        </w:rPr>
      </w:pPr>
      <w:r w:rsidRPr="00990CB0">
        <w:rPr>
          <w:rFonts w:ascii="Arial" w:eastAsia="Times New Roman" w:hAnsi="Arial" w:cs="Arial"/>
          <w:b/>
          <w:bCs/>
          <w:kern w:val="36"/>
          <w:sz w:val="20"/>
          <w:szCs w:val="20"/>
          <w:lang w:val="es-ES"/>
        </w:rPr>
        <w:t xml:space="preserve">1.1  </w:t>
      </w:r>
      <w:r w:rsidR="00892D4A" w:rsidRPr="00990CB0">
        <w:rPr>
          <w:rFonts w:ascii="Arial" w:eastAsia="Times New Roman" w:hAnsi="Arial" w:cs="Arial"/>
          <w:b/>
          <w:bCs/>
          <w:kern w:val="36"/>
          <w:sz w:val="20"/>
          <w:szCs w:val="20"/>
          <w:lang w:val="es-ES"/>
        </w:rPr>
        <w:t xml:space="preserve"> </w:t>
      </w:r>
      <w:r w:rsidRPr="00990CB0">
        <w:rPr>
          <w:rFonts w:ascii="Arial" w:eastAsia="Times New Roman" w:hAnsi="Arial" w:cs="Arial"/>
          <w:b/>
          <w:bCs/>
          <w:kern w:val="36"/>
          <w:sz w:val="20"/>
          <w:szCs w:val="20"/>
          <w:lang w:val="es-ES"/>
        </w:rPr>
        <w:t>Análisis de la constitucionalidad del Proyecto de Decreto Supremo</w:t>
      </w:r>
    </w:p>
    <w:p w14:paraId="2C78C1E1" w14:textId="77777777" w:rsidR="002A23A5" w:rsidRPr="00990CB0" w:rsidRDefault="002A23A5" w:rsidP="00E74CA5">
      <w:pPr>
        <w:pStyle w:val="Default"/>
        <w:ind w:left="425"/>
        <w:jc w:val="both"/>
        <w:rPr>
          <w:rFonts w:ascii="Arial" w:hAnsi="Arial" w:cs="Arial"/>
          <w:color w:val="auto"/>
          <w:sz w:val="20"/>
          <w:szCs w:val="20"/>
          <w:lang w:val="es-ES"/>
        </w:rPr>
      </w:pPr>
    </w:p>
    <w:p w14:paraId="2FB293E7" w14:textId="77777777" w:rsidR="002A23A5" w:rsidRPr="00990CB0" w:rsidRDefault="002A23A5" w:rsidP="00E74CA5">
      <w:pPr>
        <w:spacing w:after="0" w:line="240" w:lineRule="auto"/>
        <w:ind w:left="426"/>
        <w:jc w:val="both"/>
        <w:outlineLvl w:val="0"/>
        <w:rPr>
          <w:rFonts w:ascii="Arial" w:eastAsia="Times New Roman" w:hAnsi="Arial" w:cs="Arial"/>
          <w:bCs/>
          <w:kern w:val="36"/>
          <w:sz w:val="20"/>
          <w:szCs w:val="20"/>
        </w:rPr>
      </w:pPr>
      <w:r w:rsidRPr="00990CB0">
        <w:rPr>
          <w:rFonts w:ascii="Arial" w:eastAsia="Times New Roman" w:hAnsi="Arial" w:cs="Arial"/>
          <w:bCs/>
          <w:kern w:val="36"/>
          <w:sz w:val="20"/>
          <w:szCs w:val="20"/>
        </w:rPr>
        <w:t>La Constitución Política reconoce como un derecho fundamental de la persona el derecho a gozar de un ambiente equilibrado y adecuado al desarrollo de su vida</w:t>
      </w:r>
      <w:r w:rsidRPr="00990CB0">
        <w:rPr>
          <w:rFonts w:ascii="Arial" w:eastAsia="Times New Roman" w:hAnsi="Arial" w:cs="Arial"/>
          <w:bCs/>
          <w:kern w:val="36"/>
          <w:sz w:val="20"/>
          <w:szCs w:val="20"/>
          <w:vertAlign w:val="superscript"/>
        </w:rPr>
        <w:t>1</w:t>
      </w:r>
      <w:r w:rsidRPr="00990CB0">
        <w:rPr>
          <w:rFonts w:ascii="Arial" w:eastAsia="Times New Roman" w:hAnsi="Arial" w:cs="Arial"/>
          <w:bCs/>
          <w:kern w:val="36"/>
          <w:sz w:val="20"/>
          <w:szCs w:val="20"/>
        </w:rPr>
        <w:t>, así como también reconoce en el Título III referido al Régimen Económico, el acceso a los recursos naturales</w:t>
      </w:r>
      <w:r w:rsidRPr="00990CB0">
        <w:rPr>
          <w:rFonts w:ascii="Arial" w:eastAsia="Times New Roman" w:hAnsi="Arial" w:cs="Arial"/>
          <w:bCs/>
          <w:kern w:val="36"/>
          <w:sz w:val="20"/>
          <w:szCs w:val="20"/>
          <w:vertAlign w:val="superscript"/>
        </w:rPr>
        <w:t>2</w:t>
      </w:r>
      <w:r w:rsidRPr="00990CB0">
        <w:rPr>
          <w:rFonts w:ascii="Arial" w:eastAsia="Times New Roman" w:hAnsi="Arial" w:cs="Arial"/>
          <w:bCs/>
          <w:kern w:val="36"/>
          <w:sz w:val="20"/>
          <w:szCs w:val="20"/>
        </w:rPr>
        <w:t>, el mandato para el establecimiento de la política nacional del ambiente y el compromiso de promover el uso sostenible de los recursos naturales</w:t>
      </w:r>
      <w:r w:rsidRPr="00990CB0">
        <w:rPr>
          <w:rFonts w:ascii="Arial" w:eastAsia="Times New Roman" w:hAnsi="Arial" w:cs="Arial"/>
          <w:bCs/>
          <w:kern w:val="36"/>
          <w:sz w:val="20"/>
          <w:szCs w:val="20"/>
          <w:vertAlign w:val="superscript"/>
        </w:rPr>
        <w:t>3</w:t>
      </w:r>
      <w:r w:rsidRPr="00990CB0">
        <w:rPr>
          <w:rFonts w:ascii="Arial" w:eastAsia="Times New Roman" w:hAnsi="Arial" w:cs="Arial"/>
          <w:bCs/>
          <w:kern w:val="36"/>
          <w:sz w:val="20"/>
          <w:szCs w:val="20"/>
        </w:rPr>
        <w:t xml:space="preserve">. </w:t>
      </w:r>
    </w:p>
    <w:p w14:paraId="70E0E37A" w14:textId="77777777" w:rsidR="002A23A5" w:rsidRPr="00990CB0" w:rsidRDefault="002A23A5" w:rsidP="00E74CA5">
      <w:pPr>
        <w:spacing w:after="0" w:line="240" w:lineRule="auto"/>
        <w:ind w:left="426"/>
        <w:jc w:val="both"/>
        <w:outlineLvl w:val="0"/>
        <w:rPr>
          <w:rFonts w:ascii="Arial" w:eastAsia="Times New Roman" w:hAnsi="Arial" w:cs="Arial"/>
          <w:bCs/>
          <w:kern w:val="36"/>
          <w:sz w:val="20"/>
          <w:szCs w:val="20"/>
        </w:rPr>
      </w:pPr>
    </w:p>
    <w:p w14:paraId="7E83A1FF" w14:textId="77777777" w:rsidR="002A23A5" w:rsidRPr="00990CB0" w:rsidRDefault="002A23A5" w:rsidP="00E74CA5">
      <w:pPr>
        <w:spacing w:after="0" w:line="240" w:lineRule="auto"/>
        <w:ind w:left="426"/>
        <w:jc w:val="both"/>
        <w:outlineLvl w:val="0"/>
        <w:rPr>
          <w:rFonts w:ascii="Arial" w:eastAsia="Times New Roman" w:hAnsi="Arial" w:cs="Arial"/>
          <w:bCs/>
          <w:kern w:val="36"/>
          <w:sz w:val="20"/>
          <w:szCs w:val="20"/>
        </w:rPr>
      </w:pPr>
      <w:r w:rsidRPr="00990CB0">
        <w:rPr>
          <w:rFonts w:ascii="Arial" w:eastAsia="Times New Roman" w:hAnsi="Arial" w:cs="Arial"/>
          <w:bCs/>
          <w:kern w:val="36"/>
          <w:sz w:val="20"/>
          <w:szCs w:val="20"/>
        </w:rPr>
        <w:t xml:space="preserve">La Ley N° 26821, Ley Orgánica para el Aprovechamiento Sostenible de los Recursos Naturales, emitida el mes de junio de 1997, constituye la ley de desarrollo constitucional en la materia, y dispuso que mantenían su plena vigencia, entre otras, las norma sobre recursos naturales promulgadas con anterioridad a ésta, entre las cuales se encontraba el Decreto Supremo N° 014-92-EM, Texto Único Ordenado de la Ley General de Minería, emitida el 3 de junio de 1992. </w:t>
      </w:r>
    </w:p>
    <w:p w14:paraId="1AEABC62" w14:textId="77777777" w:rsidR="002A23A5" w:rsidRPr="00990CB0" w:rsidRDefault="002A23A5" w:rsidP="00E74CA5">
      <w:pPr>
        <w:spacing w:after="0" w:line="240" w:lineRule="auto"/>
        <w:ind w:left="426"/>
        <w:jc w:val="both"/>
        <w:outlineLvl w:val="0"/>
        <w:rPr>
          <w:rFonts w:ascii="Arial" w:eastAsia="Times New Roman" w:hAnsi="Arial" w:cs="Arial"/>
          <w:bCs/>
          <w:kern w:val="36"/>
          <w:sz w:val="20"/>
          <w:szCs w:val="20"/>
        </w:rPr>
      </w:pPr>
    </w:p>
    <w:p w14:paraId="3A49C21C" w14:textId="77777777" w:rsidR="00700F14" w:rsidRPr="00990CB0" w:rsidRDefault="008402E5" w:rsidP="00E74CA5">
      <w:pPr>
        <w:spacing w:after="0" w:line="240" w:lineRule="auto"/>
        <w:ind w:left="426"/>
        <w:jc w:val="both"/>
        <w:outlineLvl w:val="0"/>
        <w:rPr>
          <w:rFonts w:ascii="Arial" w:eastAsia="Times New Roman" w:hAnsi="Arial" w:cs="Arial"/>
          <w:bCs/>
          <w:kern w:val="36"/>
          <w:sz w:val="20"/>
          <w:szCs w:val="20"/>
        </w:rPr>
      </w:pPr>
      <w:r w:rsidRPr="00990CB0">
        <w:rPr>
          <w:rFonts w:ascii="Arial" w:eastAsia="Times New Roman" w:hAnsi="Arial" w:cs="Arial"/>
          <w:bCs/>
          <w:kern w:val="36"/>
          <w:sz w:val="20"/>
          <w:szCs w:val="20"/>
        </w:rPr>
        <w:t>E</w:t>
      </w:r>
      <w:r w:rsidR="00700F14" w:rsidRPr="00990CB0">
        <w:rPr>
          <w:rFonts w:ascii="Arial" w:eastAsia="Times New Roman" w:hAnsi="Arial" w:cs="Arial"/>
          <w:sz w:val="20"/>
          <w:szCs w:val="20"/>
          <w:lang w:eastAsia="es-PE"/>
        </w:rPr>
        <w:t xml:space="preserve">l artículo V del Título Preliminar del </w:t>
      </w:r>
      <w:r w:rsidR="00700F14" w:rsidRPr="00990CB0">
        <w:rPr>
          <w:rFonts w:ascii="Arial" w:eastAsia="Times New Roman" w:hAnsi="Arial" w:cs="Arial"/>
          <w:bCs/>
          <w:sz w:val="20"/>
          <w:szCs w:val="20"/>
          <w:lang w:eastAsia="es-PE"/>
        </w:rPr>
        <w:t>Texto Único Ordenado de la Ley General de Minería señala que</w:t>
      </w:r>
      <w:r w:rsidR="00700F14" w:rsidRPr="00990CB0">
        <w:rPr>
          <w:rFonts w:ascii="Arial" w:eastAsia="Times New Roman" w:hAnsi="Arial" w:cs="Arial"/>
          <w:sz w:val="20"/>
          <w:szCs w:val="20"/>
          <w:lang w:eastAsia="es-PE"/>
        </w:rPr>
        <w:t xml:space="preserve"> </w:t>
      </w:r>
      <w:r w:rsidR="00700F14" w:rsidRPr="00990CB0">
        <w:rPr>
          <w:rFonts w:ascii="Arial" w:hAnsi="Arial" w:cs="Arial"/>
          <w:bCs/>
          <w:kern w:val="36"/>
          <w:sz w:val="20"/>
          <w:szCs w:val="20"/>
        </w:rPr>
        <w:t>son actividades de la industria minera, las siguientes: cateo, prospección, exploración, explotación, labor general, beneficio, comer</w:t>
      </w:r>
      <w:r w:rsidRPr="00990CB0">
        <w:rPr>
          <w:rFonts w:ascii="Arial" w:hAnsi="Arial" w:cs="Arial"/>
          <w:bCs/>
          <w:kern w:val="36"/>
          <w:sz w:val="20"/>
          <w:szCs w:val="20"/>
        </w:rPr>
        <w:t>cialización y transporte minero, que la ca</w:t>
      </w:r>
      <w:r w:rsidR="00700F14" w:rsidRPr="00990CB0">
        <w:rPr>
          <w:rFonts w:ascii="Arial" w:eastAsia="Times New Roman" w:hAnsi="Arial" w:cs="Arial"/>
          <w:bCs/>
          <w:kern w:val="36"/>
          <w:sz w:val="20"/>
          <w:szCs w:val="20"/>
        </w:rPr>
        <w:t>lificación de las actividade</w:t>
      </w:r>
      <w:r w:rsidRPr="00990CB0">
        <w:rPr>
          <w:rFonts w:ascii="Arial" w:eastAsia="Times New Roman" w:hAnsi="Arial" w:cs="Arial"/>
          <w:bCs/>
          <w:kern w:val="36"/>
          <w:sz w:val="20"/>
          <w:szCs w:val="20"/>
        </w:rPr>
        <w:t xml:space="preserve">s mineras corresponde al Estado y que el mismo o </w:t>
      </w:r>
      <w:r w:rsidR="00700F14" w:rsidRPr="00990CB0">
        <w:rPr>
          <w:rFonts w:ascii="Arial" w:eastAsia="Times New Roman" w:hAnsi="Arial" w:cs="Arial"/>
          <w:bCs/>
          <w:kern w:val="36"/>
          <w:sz w:val="20"/>
          <w:szCs w:val="20"/>
        </w:rPr>
        <w:t>los particulares para ejercer las actividades antes señaladas deberán dar cumplimiento a las disposiciones establecidas en la presente Ley.</w:t>
      </w:r>
    </w:p>
    <w:p w14:paraId="3AA88317" w14:textId="77777777" w:rsidR="00700F14" w:rsidRPr="00990CB0" w:rsidRDefault="00700F14" w:rsidP="00E74CA5">
      <w:pPr>
        <w:spacing w:after="0" w:line="240" w:lineRule="auto"/>
        <w:ind w:left="426"/>
        <w:jc w:val="both"/>
        <w:outlineLvl w:val="0"/>
        <w:rPr>
          <w:rFonts w:ascii="Arial" w:eastAsia="Times New Roman" w:hAnsi="Arial" w:cs="Arial"/>
          <w:bCs/>
          <w:kern w:val="36"/>
          <w:sz w:val="20"/>
          <w:szCs w:val="20"/>
        </w:rPr>
      </w:pPr>
    </w:p>
    <w:p w14:paraId="6DB9D7CE" w14:textId="77777777" w:rsidR="009D7BE3" w:rsidRPr="00990CB0" w:rsidRDefault="008402E5" w:rsidP="00E74CA5">
      <w:pPr>
        <w:spacing w:after="0" w:line="240" w:lineRule="auto"/>
        <w:ind w:left="426"/>
        <w:jc w:val="both"/>
        <w:outlineLvl w:val="0"/>
        <w:rPr>
          <w:rFonts w:ascii="Arial" w:eastAsia="Times New Roman" w:hAnsi="Arial" w:cs="Arial"/>
          <w:bCs/>
          <w:kern w:val="36"/>
          <w:sz w:val="20"/>
          <w:szCs w:val="20"/>
        </w:rPr>
      </w:pPr>
      <w:r w:rsidRPr="00990CB0">
        <w:rPr>
          <w:rFonts w:ascii="Arial" w:eastAsia="Times New Roman" w:hAnsi="Arial" w:cs="Arial"/>
          <w:bCs/>
          <w:kern w:val="36"/>
          <w:sz w:val="20"/>
          <w:szCs w:val="20"/>
        </w:rPr>
        <w:t xml:space="preserve">Por su parte, </w:t>
      </w:r>
      <w:r w:rsidR="00792120" w:rsidRPr="00990CB0">
        <w:rPr>
          <w:rFonts w:ascii="Arial" w:eastAsia="Times New Roman" w:hAnsi="Arial" w:cs="Arial"/>
          <w:bCs/>
          <w:kern w:val="36"/>
          <w:sz w:val="20"/>
          <w:szCs w:val="20"/>
        </w:rPr>
        <w:t xml:space="preserve">los artículos 3 y 4 del Texto Único Ordenado de la Ley General de Minería, señalan que la comercialización de minerales es </w:t>
      </w:r>
      <w:r w:rsidR="00DC4D0F" w:rsidRPr="00990CB0">
        <w:rPr>
          <w:rFonts w:ascii="Arial" w:eastAsia="Times New Roman" w:hAnsi="Arial" w:cs="Arial"/>
          <w:bCs/>
          <w:kern w:val="36"/>
          <w:sz w:val="20"/>
          <w:szCs w:val="20"/>
        </w:rPr>
        <w:t>libre interna como externamente y que, para su ejercicio no se requiere el otorgamiento de una concesión. Asimismo, se establece que los productos minerales comprados a personas autorizadas para disponer de ellos, no son reivindicables. La compra hecha a persona no autorizada, sujeta al comprador a la responsabilidad correspondiente. El comprador está obligado a verificar el origen de las sustancias minerales.</w:t>
      </w:r>
    </w:p>
    <w:p w14:paraId="0D98DA7F" w14:textId="77777777" w:rsidR="009D7BE3" w:rsidRPr="00990CB0" w:rsidRDefault="009D7BE3" w:rsidP="00E74CA5">
      <w:pPr>
        <w:spacing w:after="0" w:line="240" w:lineRule="auto"/>
        <w:ind w:left="426"/>
        <w:jc w:val="both"/>
        <w:outlineLvl w:val="0"/>
        <w:rPr>
          <w:rFonts w:ascii="Arial" w:eastAsia="Times New Roman" w:hAnsi="Arial" w:cs="Arial"/>
          <w:bCs/>
          <w:kern w:val="36"/>
          <w:sz w:val="20"/>
          <w:szCs w:val="20"/>
        </w:rPr>
      </w:pPr>
    </w:p>
    <w:p w14:paraId="3C02F9E7" w14:textId="112C64F1" w:rsidR="002A23A5" w:rsidRPr="00990CB0" w:rsidRDefault="009D7BE3" w:rsidP="00E74CA5">
      <w:pPr>
        <w:spacing w:after="0" w:line="240" w:lineRule="auto"/>
        <w:ind w:left="426"/>
        <w:jc w:val="both"/>
        <w:outlineLvl w:val="0"/>
        <w:rPr>
          <w:rFonts w:ascii="Arial" w:eastAsia="Times New Roman" w:hAnsi="Arial" w:cs="Arial"/>
          <w:bCs/>
          <w:kern w:val="36"/>
          <w:sz w:val="20"/>
          <w:szCs w:val="20"/>
        </w:rPr>
      </w:pPr>
      <w:r w:rsidRPr="00990CB0">
        <w:rPr>
          <w:rFonts w:ascii="Arial" w:eastAsia="Times New Roman" w:hAnsi="Arial" w:cs="Arial"/>
          <w:bCs/>
          <w:kern w:val="36"/>
          <w:sz w:val="20"/>
          <w:szCs w:val="20"/>
        </w:rPr>
        <w:t xml:space="preserve">Asimismo, </w:t>
      </w:r>
      <w:r w:rsidR="002A23A5" w:rsidRPr="00990CB0">
        <w:rPr>
          <w:rFonts w:ascii="Arial" w:eastAsia="Times New Roman" w:hAnsi="Arial" w:cs="Arial"/>
          <w:bCs/>
          <w:kern w:val="36"/>
          <w:sz w:val="20"/>
          <w:szCs w:val="20"/>
        </w:rPr>
        <w:t xml:space="preserve">el artículo 48 del Texto Único Ordenado de la Ley General de Minería </w:t>
      </w:r>
      <w:r w:rsidR="00792120" w:rsidRPr="00990CB0">
        <w:rPr>
          <w:rFonts w:ascii="Arial" w:eastAsia="Times New Roman" w:hAnsi="Arial" w:cs="Arial"/>
          <w:bCs/>
          <w:kern w:val="36"/>
          <w:sz w:val="20"/>
          <w:szCs w:val="20"/>
        </w:rPr>
        <w:t>estable</w:t>
      </w:r>
      <w:r w:rsidR="00287F58" w:rsidRPr="00990CB0">
        <w:rPr>
          <w:rFonts w:ascii="Arial" w:eastAsia="Times New Roman" w:hAnsi="Arial" w:cs="Arial"/>
          <w:bCs/>
          <w:kern w:val="36"/>
          <w:sz w:val="20"/>
          <w:szCs w:val="20"/>
        </w:rPr>
        <w:t>ce</w:t>
      </w:r>
      <w:r w:rsidR="002A23A5" w:rsidRPr="00990CB0">
        <w:rPr>
          <w:rFonts w:ascii="Arial" w:eastAsia="Times New Roman" w:hAnsi="Arial" w:cs="Arial"/>
          <w:bCs/>
          <w:kern w:val="36"/>
          <w:sz w:val="20"/>
          <w:szCs w:val="20"/>
        </w:rPr>
        <w:t xml:space="preserve"> que todo titular de la actividad minera está obligado a ejecutar las labores propias de la misma de acuerdo con sistemas, métodos y técnicas que tiendan al mejor desarrollo de la actividad con sujeción a las normas de seguridad e higiene y saneamiento ambiental aplicable a la industria minera. En el desarrollo de actividades deberá evitarse en lo posible daños a terceros, quedando el titular obligado a indemnizarlos por cualquier perjuicio que les cause. </w:t>
      </w:r>
    </w:p>
    <w:p w14:paraId="5939DC7F" w14:textId="77777777" w:rsidR="002A23A5" w:rsidRPr="00990CB0" w:rsidRDefault="002A23A5" w:rsidP="00E74CA5">
      <w:pPr>
        <w:spacing w:after="0" w:line="240" w:lineRule="auto"/>
        <w:ind w:left="426"/>
        <w:jc w:val="both"/>
        <w:outlineLvl w:val="0"/>
        <w:rPr>
          <w:rFonts w:ascii="Arial" w:eastAsia="Times New Roman" w:hAnsi="Arial" w:cs="Arial"/>
          <w:bCs/>
          <w:kern w:val="36"/>
          <w:sz w:val="20"/>
          <w:szCs w:val="20"/>
        </w:rPr>
      </w:pPr>
    </w:p>
    <w:p w14:paraId="1BCCDC37" w14:textId="6C660F60" w:rsidR="00E74CA5" w:rsidRPr="00990CB0" w:rsidRDefault="00287F58" w:rsidP="00E74CA5">
      <w:pPr>
        <w:spacing w:after="0" w:line="240" w:lineRule="auto"/>
        <w:ind w:left="426"/>
        <w:jc w:val="both"/>
        <w:outlineLvl w:val="0"/>
        <w:rPr>
          <w:rFonts w:ascii="Arial" w:eastAsia="Times New Roman" w:hAnsi="Arial" w:cs="Arial"/>
          <w:bCs/>
          <w:kern w:val="36"/>
          <w:sz w:val="20"/>
          <w:szCs w:val="20"/>
        </w:rPr>
      </w:pPr>
      <w:r w:rsidRPr="00990CB0">
        <w:rPr>
          <w:rFonts w:ascii="Arial" w:eastAsia="Times New Roman" w:hAnsi="Arial" w:cs="Arial"/>
          <w:bCs/>
          <w:kern w:val="36"/>
          <w:sz w:val="20"/>
          <w:szCs w:val="20"/>
        </w:rPr>
        <w:t>Por tanto</w:t>
      </w:r>
      <w:r w:rsidR="002A23A5" w:rsidRPr="00990CB0">
        <w:rPr>
          <w:rFonts w:ascii="Arial" w:eastAsia="Times New Roman" w:hAnsi="Arial" w:cs="Arial"/>
          <w:bCs/>
          <w:kern w:val="36"/>
          <w:sz w:val="20"/>
          <w:szCs w:val="20"/>
        </w:rPr>
        <w:t>, la normativa sectorial</w:t>
      </w:r>
      <w:r w:rsidR="009D7BE3" w:rsidRPr="00990CB0">
        <w:rPr>
          <w:rFonts w:ascii="Arial" w:eastAsia="Times New Roman" w:hAnsi="Arial" w:cs="Arial"/>
          <w:bCs/>
          <w:kern w:val="36"/>
          <w:sz w:val="20"/>
          <w:szCs w:val="20"/>
        </w:rPr>
        <w:t xml:space="preserve"> </w:t>
      </w:r>
      <w:r w:rsidR="00412524" w:rsidRPr="00990CB0">
        <w:rPr>
          <w:rFonts w:ascii="Arial" w:eastAsia="Times New Roman" w:hAnsi="Arial" w:cs="Arial"/>
          <w:bCs/>
          <w:kern w:val="36"/>
          <w:sz w:val="20"/>
          <w:szCs w:val="20"/>
        </w:rPr>
        <w:t xml:space="preserve">vigente </w:t>
      </w:r>
      <w:r w:rsidRPr="00990CB0">
        <w:rPr>
          <w:rFonts w:ascii="Arial" w:eastAsia="Times New Roman" w:hAnsi="Arial" w:cs="Arial"/>
          <w:bCs/>
          <w:kern w:val="36"/>
          <w:sz w:val="20"/>
          <w:szCs w:val="20"/>
        </w:rPr>
        <w:t>sobre</w:t>
      </w:r>
      <w:r w:rsidR="009D7BE3" w:rsidRPr="00990CB0">
        <w:rPr>
          <w:rFonts w:ascii="Arial" w:eastAsia="Times New Roman" w:hAnsi="Arial" w:cs="Arial"/>
          <w:bCs/>
          <w:kern w:val="36"/>
          <w:sz w:val="20"/>
          <w:szCs w:val="20"/>
        </w:rPr>
        <w:t xml:space="preserve"> </w:t>
      </w:r>
      <w:r w:rsidR="00412524" w:rsidRPr="00990CB0">
        <w:rPr>
          <w:rFonts w:ascii="Arial" w:eastAsia="Times New Roman" w:hAnsi="Arial" w:cs="Arial"/>
          <w:bCs/>
          <w:kern w:val="36"/>
          <w:sz w:val="20"/>
          <w:szCs w:val="20"/>
        </w:rPr>
        <w:t xml:space="preserve">comercialización de minerales </w:t>
      </w:r>
      <w:r w:rsidR="002A23A5" w:rsidRPr="00990CB0">
        <w:rPr>
          <w:rFonts w:ascii="Arial" w:eastAsia="Times New Roman" w:hAnsi="Arial" w:cs="Arial"/>
          <w:bCs/>
          <w:kern w:val="36"/>
          <w:sz w:val="20"/>
          <w:szCs w:val="20"/>
        </w:rPr>
        <w:t>se encuentra dentro del marco establecido en la Constitución Política del Perú.</w:t>
      </w:r>
    </w:p>
    <w:p w14:paraId="1D28E8EC" w14:textId="77777777" w:rsidR="00E74CA5" w:rsidRPr="00990CB0" w:rsidRDefault="00E74CA5" w:rsidP="00E74CA5">
      <w:pPr>
        <w:spacing w:after="0" w:line="240" w:lineRule="auto"/>
        <w:ind w:left="426"/>
        <w:jc w:val="both"/>
        <w:outlineLvl w:val="0"/>
        <w:rPr>
          <w:rFonts w:ascii="Arial" w:eastAsia="Times New Roman" w:hAnsi="Arial" w:cs="Arial"/>
          <w:bCs/>
          <w:kern w:val="36"/>
          <w:sz w:val="20"/>
          <w:szCs w:val="20"/>
        </w:rPr>
      </w:pPr>
    </w:p>
    <w:p w14:paraId="457C6F64" w14:textId="77777777" w:rsidR="00D17770" w:rsidRPr="00990CB0" w:rsidRDefault="00E62397" w:rsidP="00E74CA5">
      <w:pPr>
        <w:spacing w:after="0" w:line="240" w:lineRule="auto"/>
        <w:ind w:left="426"/>
        <w:jc w:val="both"/>
        <w:outlineLvl w:val="0"/>
        <w:rPr>
          <w:rFonts w:ascii="Arial" w:eastAsia="Times New Roman" w:hAnsi="Arial" w:cs="Arial"/>
          <w:bCs/>
          <w:kern w:val="36"/>
          <w:sz w:val="20"/>
          <w:szCs w:val="20"/>
        </w:rPr>
      </w:pPr>
      <w:r w:rsidRPr="00990CB0">
        <w:rPr>
          <w:rFonts w:ascii="Arial" w:hAnsi="Arial" w:cs="Arial"/>
          <w:sz w:val="20"/>
          <w:szCs w:val="20"/>
        </w:rPr>
        <w:t>L</w:t>
      </w:r>
      <w:r w:rsidR="00D17770" w:rsidRPr="00990CB0">
        <w:rPr>
          <w:rFonts w:ascii="Arial" w:hAnsi="Arial" w:cs="Arial"/>
          <w:sz w:val="20"/>
          <w:szCs w:val="20"/>
        </w:rPr>
        <w:t>a Sétima Disposición Complementaria Final del Decreto Legislativo Nº 1105 establece que el Poder Ejecutivo, con el fin de promover la formalización de los Pequeños Productores Mineros y Productores Mineros Artesanales, podrá, mediante Decreto Supremo refrendado por los Ministros de Economía y Finanzas y de Energía y Minas, emitir las normas complementarias referidas a la comercialización del oro proveniente</w:t>
      </w:r>
      <w:r w:rsidRPr="00990CB0">
        <w:rPr>
          <w:rFonts w:ascii="Arial" w:hAnsi="Arial" w:cs="Arial"/>
          <w:sz w:val="20"/>
          <w:szCs w:val="20"/>
        </w:rPr>
        <w:t xml:space="preserve"> de la actividad minera de los p</w:t>
      </w:r>
      <w:r w:rsidR="00D17770" w:rsidRPr="00990CB0">
        <w:rPr>
          <w:rFonts w:ascii="Arial" w:hAnsi="Arial" w:cs="Arial"/>
          <w:sz w:val="20"/>
          <w:szCs w:val="20"/>
        </w:rPr>
        <w:t xml:space="preserve">roductores </w:t>
      </w:r>
      <w:r w:rsidRPr="00990CB0">
        <w:rPr>
          <w:rFonts w:ascii="Arial" w:hAnsi="Arial" w:cs="Arial"/>
          <w:sz w:val="20"/>
          <w:szCs w:val="20"/>
        </w:rPr>
        <w:t>mineros antes</w:t>
      </w:r>
      <w:r w:rsidR="00D17770" w:rsidRPr="00990CB0">
        <w:rPr>
          <w:rFonts w:ascii="Arial" w:hAnsi="Arial" w:cs="Arial"/>
          <w:sz w:val="20"/>
          <w:szCs w:val="20"/>
        </w:rPr>
        <w:t xml:space="preserve"> mencionados.</w:t>
      </w:r>
    </w:p>
    <w:p w14:paraId="51CA1802" w14:textId="77777777" w:rsidR="00E74CA5" w:rsidRPr="00990CB0" w:rsidRDefault="00E74CA5" w:rsidP="00E74CA5">
      <w:pPr>
        <w:spacing w:after="0" w:line="240" w:lineRule="auto"/>
        <w:ind w:left="425"/>
        <w:jc w:val="both"/>
        <w:rPr>
          <w:rFonts w:ascii="Arial" w:hAnsi="Arial" w:cs="Arial"/>
          <w:sz w:val="20"/>
          <w:szCs w:val="20"/>
        </w:rPr>
      </w:pPr>
    </w:p>
    <w:p w14:paraId="5107E5E8" w14:textId="6171DFA8" w:rsidR="006C0726" w:rsidRPr="00990CB0" w:rsidRDefault="00E62397" w:rsidP="00E74CA5">
      <w:pPr>
        <w:spacing w:after="0" w:line="240" w:lineRule="auto"/>
        <w:ind w:left="425"/>
        <w:jc w:val="both"/>
        <w:rPr>
          <w:rFonts w:ascii="Arial" w:hAnsi="Arial" w:cs="Arial"/>
          <w:sz w:val="20"/>
          <w:szCs w:val="20"/>
        </w:rPr>
      </w:pPr>
      <w:r w:rsidRPr="00990CB0">
        <w:rPr>
          <w:rFonts w:ascii="Arial" w:hAnsi="Arial" w:cs="Arial"/>
          <w:sz w:val="20"/>
          <w:szCs w:val="20"/>
        </w:rPr>
        <w:t xml:space="preserve">De igual forma, </w:t>
      </w:r>
      <w:r w:rsidR="006C0726" w:rsidRPr="00990CB0">
        <w:rPr>
          <w:rFonts w:ascii="Arial" w:hAnsi="Arial" w:cs="Arial"/>
          <w:sz w:val="20"/>
          <w:szCs w:val="20"/>
        </w:rPr>
        <w:t xml:space="preserve">el artículo 9 del Decreto Legislativo N° 1107, señala que la Superintendencia de Aduanas y de Administración Tributaria - SUNAT podrá aplicar controles especiales para la comercialización de los productos mineros dentro del ámbito de su competencia. Los productos mineros, cualquiera sea su estado, se sujetan a los alcances del citado Decreto Legislativo en lo referido a las Rutas Fiscales y sus controles. </w:t>
      </w:r>
      <w:r w:rsidR="00D912D4" w:rsidRPr="00990CB0">
        <w:rPr>
          <w:rFonts w:ascii="Arial" w:hAnsi="Arial" w:cs="Arial"/>
          <w:sz w:val="20"/>
          <w:szCs w:val="20"/>
        </w:rPr>
        <w:t>Asimismo,</w:t>
      </w:r>
      <w:r w:rsidR="006C0726" w:rsidRPr="00990CB0">
        <w:rPr>
          <w:rFonts w:ascii="Arial" w:hAnsi="Arial" w:cs="Arial"/>
          <w:sz w:val="20"/>
          <w:szCs w:val="20"/>
        </w:rPr>
        <w:t xml:space="preserve"> el artículo señalado en el párrafo precedente señala </w:t>
      </w:r>
      <w:r w:rsidR="00D912D4" w:rsidRPr="00990CB0">
        <w:rPr>
          <w:rFonts w:ascii="Arial" w:hAnsi="Arial" w:cs="Arial"/>
          <w:sz w:val="20"/>
          <w:szCs w:val="20"/>
        </w:rPr>
        <w:t>que,</w:t>
      </w:r>
      <w:r w:rsidR="006C0726" w:rsidRPr="00990CB0">
        <w:rPr>
          <w:rFonts w:ascii="Arial" w:hAnsi="Arial" w:cs="Arial"/>
          <w:sz w:val="20"/>
          <w:szCs w:val="20"/>
        </w:rPr>
        <w:t xml:space="preserve"> mediante Decreto Supremo, a propuesta de la SUNAT, refrendado por los Ministros de Economía y Finanzas y de Energía y Minas, se implementará </w:t>
      </w:r>
      <w:r w:rsidR="006C0726" w:rsidRPr="00990CB0">
        <w:rPr>
          <w:rFonts w:ascii="Arial" w:hAnsi="Arial" w:cs="Arial"/>
          <w:sz w:val="20"/>
          <w:szCs w:val="20"/>
        </w:rPr>
        <w:lastRenderedPageBreak/>
        <w:t>en forma progresiva los mecanismos para el control y fiscalización antes señalados y se señalará los productos mineros objetos de control y fiscalización.</w:t>
      </w:r>
    </w:p>
    <w:p w14:paraId="370BE5AD" w14:textId="77777777" w:rsidR="00E74CA5" w:rsidRPr="00990CB0" w:rsidRDefault="00E74CA5" w:rsidP="00E74CA5">
      <w:pPr>
        <w:pStyle w:val="Default"/>
        <w:ind w:left="425"/>
        <w:jc w:val="both"/>
        <w:rPr>
          <w:rFonts w:ascii="Arial" w:hAnsi="Arial" w:cs="Arial"/>
          <w:color w:val="auto"/>
          <w:sz w:val="20"/>
          <w:szCs w:val="20"/>
        </w:rPr>
      </w:pPr>
    </w:p>
    <w:p w14:paraId="5E76E301" w14:textId="77777777" w:rsidR="00D17770" w:rsidRPr="00990CB0" w:rsidRDefault="00D17770" w:rsidP="00E74CA5">
      <w:pPr>
        <w:pStyle w:val="Default"/>
        <w:ind w:left="425"/>
        <w:jc w:val="both"/>
        <w:rPr>
          <w:rFonts w:ascii="Arial" w:hAnsi="Arial" w:cs="Arial"/>
          <w:color w:val="auto"/>
          <w:sz w:val="20"/>
          <w:szCs w:val="20"/>
        </w:rPr>
      </w:pPr>
      <w:r w:rsidRPr="00990CB0">
        <w:rPr>
          <w:rFonts w:ascii="Arial" w:hAnsi="Arial" w:cs="Arial"/>
          <w:color w:val="auto"/>
          <w:sz w:val="20"/>
          <w:szCs w:val="20"/>
        </w:rPr>
        <w:t>Luego, mediante el artículo 7 del Decreto Supremo Nº 012-2012-EM, dispone como medida complementaria referida a la comercialización, y en tanto no se haya implementado un procedimiento de certificación de la calidad ambiental y procedencia del oro, que el Ministerio de Energía y Minas establecerá un Registro Especial de Comercializadores y Procesadores de Oro</w:t>
      </w:r>
      <w:r w:rsidR="00F46621" w:rsidRPr="00990CB0">
        <w:rPr>
          <w:rFonts w:ascii="Arial" w:hAnsi="Arial" w:cs="Arial"/>
          <w:color w:val="auto"/>
          <w:sz w:val="20"/>
          <w:szCs w:val="20"/>
        </w:rPr>
        <w:t>.</w:t>
      </w:r>
      <w:r w:rsidRPr="00990CB0">
        <w:rPr>
          <w:rFonts w:ascii="Arial" w:hAnsi="Arial" w:cs="Arial"/>
          <w:color w:val="auto"/>
          <w:sz w:val="20"/>
          <w:szCs w:val="20"/>
        </w:rPr>
        <w:t xml:space="preserve"> </w:t>
      </w:r>
    </w:p>
    <w:p w14:paraId="11EF904E" w14:textId="77777777" w:rsidR="00E74CA5" w:rsidRPr="00990CB0" w:rsidRDefault="00E74CA5" w:rsidP="00E74CA5">
      <w:pPr>
        <w:pStyle w:val="Default"/>
        <w:ind w:left="425"/>
        <w:jc w:val="both"/>
        <w:rPr>
          <w:rFonts w:ascii="Arial" w:hAnsi="Arial" w:cs="Arial"/>
          <w:color w:val="auto"/>
          <w:sz w:val="20"/>
          <w:szCs w:val="20"/>
        </w:rPr>
      </w:pPr>
    </w:p>
    <w:p w14:paraId="2E7FCC3D" w14:textId="77777777" w:rsidR="00D17770" w:rsidRPr="00990CB0" w:rsidRDefault="00D17770" w:rsidP="00E74CA5">
      <w:pPr>
        <w:pStyle w:val="Default"/>
        <w:ind w:left="425"/>
        <w:jc w:val="both"/>
        <w:rPr>
          <w:rFonts w:ascii="Arial" w:hAnsi="Arial" w:cs="Arial"/>
          <w:color w:val="auto"/>
          <w:sz w:val="20"/>
          <w:szCs w:val="20"/>
        </w:rPr>
      </w:pPr>
      <w:r w:rsidRPr="00990CB0">
        <w:rPr>
          <w:rFonts w:ascii="Arial" w:hAnsi="Arial" w:cs="Arial"/>
          <w:color w:val="auto"/>
          <w:sz w:val="20"/>
          <w:szCs w:val="20"/>
        </w:rPr>
        <w:t>En esa línea, mediante Resolución Ministerial Nº 249-2012-MEM-DM se crea el Registro Especial de Comercializadores y Procesadores de Oro, estableciendo que tal registro será implementado en la Dirección General de Minería del Ministerio de Energía y Minas.</w:t>
      </w:r>
    </w:p>
    <w:p w14:paraId="77CB1A12" w14:textId="77777777" w:rsidR="00EB7496" w:rsidRPr="00990CB0" w:rsidRDefault="00EB7496" w:rsidP="00E74CA5">
      <w:pPr>
        <w:pStyle w:val="Default"/>
        <w:ind w:left="425"/>
        <w:jc w:val="both"/>
        <w:rPr>
          <w:rFonts w:ascii="Arial" w:hAnsi="Arial" w:cs="Arial"/>
          <w:color w:val="auto"/>
          <w:sz w:val="20"/>
          <w:szCs w:val="20"/>
        </w:rPr>
      </w:pPr>
    </w:p>
    <w:p w14:paraId="45B4238B" w14:textId="2268C359" w:rsidR="00D17770" w:rsidRPr="00990CB0" w:rsidRDefault="00D17770" w:rsidP="00E74CA5">
      <w:pPr>
        <w:pStyle w:val="Default"/>
        <w:ind w:left="425"/>
        <w:jc w:val="both"/>
        <w:rPr>
          <w:rFonts w:ascii="Arial" w:hAnsi="Arial" w:cs="Arial"/>
          <w:color w:val="auto"/>
          <w:sz w:val="20"/>
          <w:szCs w:val="20"/>
        </w:rPr>
      </w:pPr>
      <w:r w:rsidRPr="00990CB0">
        <w:rPr>
          <w:rFonts w:ascii="Arial" w:hAnsi="Arial" w:cs="Arial"/>
          <w:color w:val="auto"/>
          <w:sz w:val="20"/>
          <w:szCs w:val="20"/>
        </w:rPr>
        <w:t xml:space="preserve">Posteriormente, mediante Decreto Supremo </w:t>
      </w:r>
      <w:proofErr w:type="spellStart"/>
      <w:r w:rsidRPr="00990CB0">
        <w:rPr>
          <w:rFonts w:ascii="Arial" w:hAnsi="Arial" w:cs="Arial"/>
          <w:color w:val="auto"/>
          <w:sz w:val="20"/>
          <w:szCs w:val="20"/>
        </w:rPr>
        <w:t>N°</w:t>
      </w:r>
      <w:proofErr w:type="spellEnd"/>
      <w:r w:rsidRPr="00990CB0">
        <w:rPr>
          <w:rFonts w:ascii="Arial" w:hAnsi="Arial" w:cs="Arial"/>
          <w:color w:val="auto"/>
          <w:sz w:val="20"/>
          <w:szCs w:val="20"/>
        </w:rPr>
        <w:t xml:space="preserve"> 018-2018-EM</w:t>
      </w:r>
      <w:r w:rsidR="00287F58" w:rsidRPr="00990CB0">
        <w:rPr>
          <w:rFonts w:ascii="Arial" w:hAnsi="Arial" w:cs="Arial"/>
          <w:color w:val="auto"/>
          <w:sz w:val="20"/>
          <w:szCs w:val="20"/>
        </w:rPr>
        <w:t>,</w:t>
      </w:r>
      <w:r w:rsidRPr="00990CB0">
        <w:rPr>
          <w:rFonts w:ascii="Arial" w:hAnsi="Arial" w:cs="Arial"/>
          <w:color w:val="auto"/>
          <w:sz w:val="20"/>
          <w:szCs w:val="20"/>
        </w:rPr>
        <w:t xml:space="preserve"> se modifica el artículo 4 del Decreto Supremo Nº 027-2012-EM, estableciendo que los comercializadores y procesadores de oro tienen la obligación de solicitar al Ministerio de Energía y Minas un usuario y clave de acceso informático para reportar mensualmente las transacciones comerciales efectuadas en el mes anterior, en otro extremo, el Decreto Supremo N° 018-2018-EM señala que el Ministerio de Energía y Minas, a través de la Dirección General de Formalización Minera, es el encargado de administrar el Registro Especial de Comercializadores y Procesadores de Oro (</w:t>
      </w:r>
      <w:r w:rsidR="00566B5A" w:rsidRPr="00990CB0">
        <w:rPr>
          <w:rFonts w:ascii="Arial" w:hAnsi="Arial" w:cs="Arial"/>
          <w:color w:val="auto"/>
          <w:sz w:val="20"/>
          <w:szCs w:val="20"/>
        </w:rPr>
        <w:t xml:space="preserve">en adelante </w:t>
      </w:r>
      <w:r w:rsidRPr="00990CB0">
        <w:rPr>
          <w:rFonts w:ascii="Arial" w:hAnsi="Arial" w:cs="Arial"/>
          <w:color w:val="auto"/>
          <w:sz w:val="20"/>
          <w:szCs w:val="20"/>
        </w:rPr>
        <w:t>RECPO).</w:t>
      </w:r>
    </w:p>
    <w:p w14:paraId="2AC460D7" w14:textId="77777777" w:rsidR="00E74CA5" w:rsidRPr="00990CB0" w:rsidRDefault="00E74CA5" w:rsidP="00E74CA5">
      <w:pPr>
        <w:pStyle w:val="Prrafodelista"/>
        <w:spacing w:after="0" w:line="240" w:lineRule="auto"/>
        <w:ind w:left="426"/>
        <w:jc w:val="both"/>
        <w:rPr>
          <w:rFonts w:ascii="Arial" w:hAnsi="Arial" w:cs="Arial"/>
          <w:b/>
          <w:bCs/>
          <w:sz w:val="20"/>
          <w:szCs w:val="20"/>
        </w:rPr>
      </w:pPr>
    </w:p>
    <w:p w14:paraId="4AC3EDAC" w14:textId="77777777" w:rsidR="00D17770" w:rsidRPr="00990CB0" w:rsidRDefault="00D17770" w:rsidP="00E74CA5">
      <w:pPr>
        <w:pStyle w:val="Prrafodelista"/>
        <w:numPr>
          <w:ilvl w:val="0"/>
          <w:numId w:val="1"/>
        </w:numPr>
        <w:spacing w:after="0" w:line="240" w:lineRule="auto"/>
        <w:ind w:left="426" w:hanging="284"/>
        <w:jc w:val="both"/>
        <w:rPr>
          <w:rFonts w:ascii="Arial" w:hAnsi="Arial" w:cs="Arial"/>
          <w:b/>
          <w:bCs/>
          <w:sz w:val="20"/>
          <w:szCs w:val="20"/>
        </w:rPr>
      </w:pPr>
      <w:r w:rsidRPr="00990CB0">
        <w:rPr>
          <w:rFonts w:ascii="Arial" w:hAnsi="Arial" w:cs="Arial"/>
          <w:b/>
          <w:bCs/>
          <w:sz w:val="20"/>
          <w:szCs w:val="20"/>
        </w:rPr>
        <w:t>ANÁLISIS DEL PROBLEMA</w:t>
      </w:r>
    </w:p>
    <w:p w14:paraId="5981C9F5" w14:textId="77777777" w:rsidR="00EB7496" w:rsidRPr="00990CB0" w:rsidRDefault="00EB7496" w:rsidP="00E74CA5">
      <w:pPr>
        <w:spacing w:after="0" w:line="240" w:lineRule="auto"/>
        <w:ind w:left="425"/>
        <w:jc w:val="both"/>
        <w:rPr>
          <w:rFonts w:ascii="Arial" w:eastAsia="Calibri" w:hAnsi="Arial" w:cs="Arial"/>
          <w:sz w:val="20"/>
          <w:szCs w:val="20"/>
          <w:lang w:eastAsia="es-PE"/>
        </w:rPr>
      </w:pPr>
    </w:p>
    <w:p w14:paraId="632D9A1D" w14:textId="5BA9455B" w:rsidR="00C83454" w:rsidRPr="00990CB0" w:rsidRDefault="00C83454" w:rsidP="00E74CA5">
      <w:pPr>
        <w:spacing w:after="0" w:line="240" w:lineRule="auto"/>
        <w:ind w:left="425"/>
        <w:jc w:val="both"/>
        <w:rPr>
          <w:rFonts w:ascii="Arial" w:eastAsia="Calibri" w:hAnsi="Arial" w:cs="Arial"/>
          <w:sz w:val="20"/>
          <w:szCs w:val="20"/>
          <w:lang w:eastAsia="es-PE"/>
        </w:rPr>
      </w:pPr>
      <w:r w:rsidRPr="00990CB0">
        <w:rPr>
          <w:rFonts w:ascii="Arial" w:eastAsia="Calibri" w:hAnsi="Arial" w:cs="Arial"/>
          <w:sz w:val="20"/>
          <w:szCs w:val="20"/>
          <w:lang w:eastAsia="es-PE"/>
        </w:rPr>
        <w:t xml:space="preserve">La ausencia de información sobre el trazado de la comercialización del oro, se debe en gran medida a que </w:t>
      </w:r>
      <w:r w:rsidR="002B7803" w:rsidRPr="00990CB0">
        <w:rPr>
          <w:rFonts w:ascii="Arial" w:eastAsia="Calibri" w:hAnsi="Arial" w:cs="Arial"/>
          <w:sz w:val="20"/>
          <w:szCs w:val="20"/>
          <w:lang w:eastAsia="es-PE"/>
        </w:rPr>
        <w:t>los registrados administrados por</w:t>
      </w:r>
      <w:r w:rsidRPr="00990CB0">
        <w:rPr>
          <w:rFonts w:ascii="Arial" w:eastAsia="Calibri" w:hAnsi="Arial" w:cs="Arial"/>
          <w:sz w:val="20"/>
          <w:szCs w:val="20"/>
          <w:lang w:eastAsia="es-PE"/>
        </w:rPr>
        <w:t xml:space="preserve"> Estado</w:t>
      </w:r>
      <w:r w:rsidR="002B7803" w:rsidRPr="00990CB0">
        <w:rPr>
          <w:rFonts w:ascii="Arial" w:eastAsia="Calibri" w:hAnsi="Arial" w:cs="Arial"/>
          <w:sz w:val="20"/>
          <w:szCs w:val="20"/>
          <w:lang w:eastAsia="es-PE"/>
        </w:rPr>
        <w:t xml:space="preserve"> para identificar a los agentes involucrados en la comercialización del oro y su cadena de valor</w:t>
      </w:r>
      <w:r w:rsidRPr="00990CB0">
        <w:rPr>
          <w:rFonts w:ascii="Arial" w:eastAsia="Calibri" w:hAnsi="Arial" w:cs="Arial"/>
          <w:sz w:val="20"/>
          <w:szCs w:val="20"/>
          <w:lang w:eastAsia="es-PE"/>
        </w:rPr>
        <w:t>, como es el caso del Registro Especial de Comercializadores y Procesadores de Oro-RECPO no han establecido exigencias legales</w:t>
      </w:r>
      <w:r w:rsidR="003A656A" w:rsidRPr="00990CB0">
        <w:rPr>
          <w:rFonts w:ascii="Arial" w:eastAsia="Calibri" w:hAnsi="Arial" w:cs="Arial"/>
          <w:sz w:val="20"/>
          <w:szCs w:val="20"/>
          <w:lang w:eastAsia="es-PE"/>
        </w:rPr>
        <w:t xml:space="preserve"> específicas</w:t>
      </w:r>
      <w:r w:rsidRPr="00990CB0">
        <w:rPr>
          <w:rFonts w:ascii="Arial" w:eastAsia="Calibri" w:hAnsi="Arial" w:cs="Arial"/>
          <w:sz w:val="20"/>
          <w:szCs w:val="20"/>
          <w:lang w:eastAsia="es-PE"/>
        </w:rPr>
        <w:t xml:space="preserve"> </w:t>
      </w:r>
      <w:r w:rsidR="003A656A" w:rsidRPr="00990CB0">
        <w:rPr>
          <w:rFonts w:ascii="Arial" w:eastAsia="Calibri" w:hAnsi="Arial" w:cs="Arial"/>
          <w:sz w:val="20"/>
          <w:szCs w:val="20"/>
          <w:lang w:eastAsia="es-PE"/>
        </w:rPr>
        <w:t xml:space="preserve">para el ingreso y </w:t>
      </w:r>
      <w:r w:rsidRPr="00990CB0">
        <w:rPr>
          <w:rFonts w:ascii="Arial" w:eastAsia="Calibri" w:hAnsi="Arial" w:cs="Arial"/>
          <w:sz w:val="20"/>
          <w:szCs w:val="20"/>
          <w:lang w:eastAsia="es-PE"/>
        </w:rPr>
        <w:t>registr</w:t>
      </w:r>
      <w:r w:rsidR="00C7167B" w:rsidRPr="00990CB0">
        <w:rPr>
          <w:rFonts w:ascii="Arial" w:eastAsia="Calibri" w:hAnsi="Arial" w:cs="Arial"/>
          <w:sz w:val="20"/>
          <w:szCs w:val="20"/>
          <w:lang w:eastAsia="es-PE"/>
        </w:rPr>
        <w:t>o de</w:t>
      </w:r>
      <w:r w:rsidRPr="00990CB0">
        <w:rPr>
          <w:rFonts w:ascii="Arial" w:eastAsia="Calibri" w:hAnsi="Arial" w:cs="Arial"/>
          <w:sz w:val="20"/>
          <w:szCs w:val="20"/>
          <w:lang w:eastAsia="es-PE"/>
        </w:rPr>
        <w:t xml:space="preserve"> las operaciones de compra</w:t>
      </w:r>
      <w:r w:rsidR="00C7167B" w:rsidRPr="00990CB0">
        <w:rPr>
          <w:rFonts w:ascii="Arial" w:eastAsia="Calibri" w:hAnsi="Arial" w:cs="Arial"/>
          <w:sz w:val="20"/>
          <w:szCs w:val="20"/>
          <w:lang w:eastAsia="es-PE"/>
        </w:rPr>
        <w:t>-venta</w:t>
      </w:r>
      <w:r w:rsidRPr="00990CB0">
        <w:rPr>
          <w:rFonts w:ascii="Arial" w:eastAsia="Calibri" w:hAnsi="Arial" w:cs="Arial"/>
          <w:sz w:val="20"/>
          <w:szCs w:val="20"/>
          <w:lang w:eastAsia="es-PE"/>
        </w:rPr>
        <w:t xml:space="preserve"> del oro</w:t>
      </w:r>
      <w:r w:rsidRPr="00990CB0">
        <w:rPr>
          <w:rFonts w:ascii="Arial" w:hAnsi="Arial" w:cs="Arial"/>
          <w:sz w:val="20"/>
          <w:szCs w:val="20"/>
        </w:rPr>
        <w:t xml:space="preserve"> que permitan establecer la trazabilidad del oro desde el origen hasta venta final.</w:t>
      </w:r>
    </w:p>
    <w:p w14:paraId="677E29C4" w14:textId="77777777" w:rsidR="00EB7496" w:rsidRPr="00990CB0" w:rsidRDefault="00EB7496" w:rsidP="00E74CA5">
      <w:pPr>
        <w:shd w:val="clear" w:color="auto" w:fill="FFFFFF"/>
        <w:spacing w:after="0" w:line="240" w:lineRule="auto"/>
        <w:ind w:firstLine="426"/>
        <w:jc w:val="both"/>
        <w:rPr>
          <w:rFonts w:ascii="Arial" w:eastAsia="Calibri" w:hAnsi="Arial" w:cs="Arial"/>
          <w:b/>
          <w:bCs/>
          <w:i/>
          <w:iCs/>
          <w:sz w:val="20"/>
          <w:szCs w:val="20"/>
        </w:rPr>
      </w:pPr>
    </w:p>
    <w:p w14:paraId="6E153F3C" w14:textId="77777777" w:rsidR="00B426EB" w:rsidRPr="00990CB0" w:rsidRDefault="00B426EB" w:rsidP="00E74CA5">
      <w:pPr>
        <w:shd w:val="clear" w:color="auto" w:fill="FFFFFF"/>
        <w:spacing w:after="0" w:line="240" w:lineRule="auto"/>
        <w:ind w:firstLine="426"/>
        <w:jc w:val="both"/>
        <w:rPr>
          <w:rFonts w:ascii="Arial" w:eastAsia="Calibri" w:hAnsi="Arial" w:cs="Arial"/>
          <w:b/>
          <w:bCs/>
          <w:i/>
          <w:iCs/>
          <w:sz w:val="20"/>
          <w:szCs w:val="20"/>
        </w:rPr>
      </w:pPr>
      <w:r w:rsidRPr="00990CB0">
        <w:rPr>
          <w:rFonts w:ascii="Arial" w:eastAsia="Calibri" w:hAnsi="Arial" w:cs="Arial"/>
          <w:b/>
          <w:bCs/>
          <w:i/>
          <w:iCs/>
          <w:sz w:val="20"/>
          <w:szCs w:val="20"/>
        </w:rPr>
        <w:t xml:space="preserve">La trazabilidad </w:t>
      </w:r>
      <w:r w:rsidR="00731EC4" w:rsidRPr="00990CB0">
        <w:rPr>
          <w:rFonts w:ascii="Arial" w:eastAsia="Calibri" w:hAnsi="Arial" w:cs="Arial"/>
          <w:b/>
          <w:bCs/>
          <w:i/>
          <w:iCs/>
          <w:sz w:val="20"/>
          <w:szCs w:val="20"/>
        </w:rPr>
        <w:t>del oro</w:t>
      </w:r>
    </w:p>
    <w:p w14:paraId="4027C460" w14:textId="77777777" w:rsidR="00EB7496" w:rsidRPr="00990CB0" w:rsidRDefault="00EB7496" w:rsidP="00E74CA5">
      <w:pPr>
        <w:shd w:val="clear" w:color="auto" w:fill="FFFFFF"/>
        <w:spacing w:after="0" w:line="240" w:lineRule="auto"/>
        <w:ind w:left="426"/>
        <w:jc w:val="both"/>
        <w:rPr>
          <w:rFonts w:ascii="Arial" w:eastAsia="Calibri" w:hAnsi="Arial" w:cs="Arial"/>
          <w:sz w:val="20"/>
          <w:szCs w:val="20"/>
        </w:rPr>
      </w:pPr>
    </w:p>
    <w:p w14:paraId="50A58026" w14:textId="1E56870E" w:rsidR="00B426EB" w:rsidRPr="00990CB0" w:rsidRDefault="00B426EB" w:rsidP="00E74CA5">
      <w:pPr>
        <w:shd w:val="clear" w:color="auto" w:fill="FFFFFF"/>
        <w:spacing w:after="0" w:line="240" w:lineRule="auto"/>
        <w:ind w:left="426"/>
        <w:jc w:val="both"/>
        <w:rPr>
          <w:rFonts w:ascii="Arial" w:eastAsia="Calibri" w:hAnsi="Arial" w:cs="Arial"/>
          <w:sz w:val="20"/>
          <w:szCs w:val="20"/>
        </w:rPr>
      </w:pPr>
      <w:r w:rsidRPr="00990CB0">
        <w:rPr>
          <w:rFonts w:ascii="Arial" w:eastAsia="Calibri" w:hAnsi="Arial" w:cs="Arial"/>
          <w:sz w:val="20"/>
          <w:szCs w:val="20"/>
        </w:rPr>
        <w:t xml:space="preserve">Dado que el marco normativo peruano, no plantea aún de manera expresa una definición del concepto de trazabilidad para el ámbito minero, </w:t>
      </w:r>
      <w:r w:rsidR="00287F58" w:rsidRPr="00990CB0">
        <w:rPr>
          <w:rFonts w:ascii="Arial" w:eastAsia="Calibri" w:hAnsi="Arial" w:cs="Arial"/>
          <w:sz w:val="20"/>
          <w:szCs w:val="20"/>
        </w:rPr>
        <w:t>debe</w:t>
      </w:r>
      <w:r w:rsidR="003A656A" w:rsidRPr="00990CB0">
        <w:rPr>
          <w:rFonts w:ascii="Arial" w:eastAsia="Calibri" w:hAnsi="Arial" w:cs="Arial"/>
          <w:sz w:val="20"/>
          <w:szCs w:val="20"/>
        </w:rPr>
        <w:t xml:space="preserve"> toma</w:t>
      </w:r>
      <w:r w:rsidR="00287F58" w:rsidRPr="00990CB0">
        <w:rPr>
          <w:rFonts w:ascii="Arial" w:eastAsia="Calibri" w:hAnsi="Arial" w:cs="Arial"/>
          <w:sz w:val="20"/>
          <w:szCs w:val="20"/>
        </w:rPr>
        <w:t>rse</w:t>
      </w:r>
      <w:r w:rsidR="003A656A" w:rsidRPr="00990CB0">
        <w:rPr>
          <w:rFonts w:ascii="Arial" w:eastAsia="Calibri" w:hAnsi="Arial" w:cs="Arial"/>
          <w:sz w:val="20"/>
          <w:szCs w:val="20"/>
        </w:rPr>
        <w:t xml:space="preserve"> </w:t>
      </w:r>
      <w:r w:rsidRPr="00990CB0">
        <w:rPr>
          <w:rFonts w:ascii="Arial" w:eastAsia="Calibri" w:hAnsi="Arial" w:cs="Arial"/>
          <w:sz w:val="20"/>
          <w:szCs w:val="20"/>
        </w:rPr>
        <w:t xml:space="preserve">como referencia la definición planteada por el Reglamento (UE) 2017/821 del Parlamento Europeo y del Consejo que, en su Artículo 2, inciso “e”, define la trazabilidad como </w:t>
      </w:r>
      <w:r w:rsidRPr="00990CB0">
        <w:rPr>
          <w:rFonts w:ascii="Arial" w:eastAsia="Calibri" w:hAnsi="Arial" w:cs="Arial"/>
          <w:i/>
          <w:iCs/>
          <w:sz w:val="20"/>
          <w:szCs w:val="20"/>
        </w:rPr>
        <w:t>“un registro de la secuencia de entidades que estén en posesión de los minerales y metales mientras se desplazan a través de una cadena de suministro”</w:t>
      </w:r>
      <w:r w:rsidRPr="00990CB0">
        <w:rPr>
          <w:rFonts w:ascii="Arial" w:eastAsia="Calibri" w:hAnsi="Arial" w:cs="Arial"/>
          <w:sz w:val="20"/>
          <w:szCs w:val="20"/>
        </w:rPr>
        <w:t>. Bajo esta definición la trazabilidad puede ser entendida como la “cadena de custodia o sistema de trazabilidad de la cadena de suministro</w:t>
      </w:r>
      <w:bookmarkStart w:id="0" w:name="_Hlk47205647"/>
      <w:r w:rsidRPr="00990CB0">
        <w:rPr>
          <w:rFonts w:ascii="Arial" w:eastAsia="Calibri" w:hAnsi="Arial" w:cs="Arial"/>
          <w:sz w:val="20"/>
          <w:szCs w:val="20"/>
        </w:rPr>
        <w:t>” que hace posible dicho registro</w:t>
      </w:r>
      <w:bookmarkEnd w:id="0"/>
      <w:r w:rsidRPr="00990CB0">
        <w:rPr>
          <w:rFonts w:ascii="Arial" w:eastAsia="Calibri" w:hAnsi="Arial" w:cs="Arial"/>
          <w:sz w:val="20"/>
          <w:szCs w:val="20"/>
          <w:vertAlign w:val="superscript"/>
        </w:rPr>
        <w:footnoteReference w:id="1"/>
      </w:r>
      <w:r w:rsidRPr="00990CB0">
        <w:rPr>
          <w:rFonts w:ascii="Arial" w:eastAsia="Calibri" w:hAnsi="Arial" w:cs="Arial"/>
          <w:sz w:val="20"/>
          <w:szCs w:val="20"/>
        </w:rPr>
        <w:t xml:space="preserve">. </w:t>
      </w:r>
    </w:p>
    <w:p w14:paraId="78321382" w14:textId="77777777" w:rsidR="00EB7496" w:rsidRPr="00990CB0" w:rsidRDefault="00EB7496" w:rsidP="00E74CA5">
      <w:pPr>
        <w:shd w:val="clear" w:color="auto" w:fill="FFFFFF"/>
        <w:spacing w:after="0" w:line="240" w:lineRule="auto"/>
        <w:ind w:left="426"/>
        <w:jc w:val="both"/>
        <w:rPr>
          <w:rFonts w:ascii="Arial" w:eastAsia="Calibri" w:hAnsi="Arial" w:cs="Arial"/>
          <w:sz w:val="20"/>
          <w:szCs w:val="20"/>
        </w:rPr>
      </w:pPr>
    </w:p>
    <w:p w14:paraId="34235D09" w14:textId="77777777" w:rsidR="00B426EB" w:rsidRPr="00990CB0" w:rsidRDefault="00B426EB" w:rsidP="00E74CA5">
      <w:pPr>
        <w:shd w:val="clear" w:color="auto" w:fill="FFFFFF"/>
        <w:spacing w:after="0" w:line="240" w:lineRule="auto"/>
        <w:ind w:left="426"/>
        <w:jc w:val="both"/>
        <w:rPr>
          <w:rFonts w:ascii="Arial" w:eastAsia="Calibri" w:hAnsi="Arial" w:cs="Arial"/>
          <w:sz w:val="20"/>
          <w:szCs w:val="20"/>
        </w:rPr>
      </w:pPr>
      <w:r w:rsidRPr="00990CB0">
        <w:rPr>
          <w:rFonts w:ascii="Arial" w:eastAsia="Calibri" w:hAnsi="Arial" w:cs="Arial"/>
          <w:sz w:val="20"/>
          <w:szCs w:val="20"/>
        </w:rPr>
        <w:t xml:space="preserve">La necesidad de registro de esta información </w:t>
      </w:r>
      <w:r w:rsidR="003E257C" w:rsidRPr="00990CB0">
        <w:rPr>
          <w:rFonts w:ascii="Arial" w:eastAsia="Calibri" w:hAnsi="Arial" w:cs="Arial"/>
          <w:sz w:val="20"/>
          <w:szCs w:val="20"/>
        </w:rPr>
        <w:t>está</w:t>
      </w:r>
      <w:r w:rsidRPr="00990CB0">
        <w:rPr>
          <w:rFonts w:ascii="Arial" w:eastAsia="Calibri" w:hAnsi="Arial" w:cs="Arial"/>
          <w:sz w:val="20"/>
          <w:szCs w:val="20"/>
        </w:rPr>
        <w:t xml:space="preserve"> vinculada por un lado con la preocupación de las empresas por abastecerse de insumos que hayan sido producidos en condiciones social y legalmente aceptables. Por otro lado, responde a las exigencias regulatorias para que las empresas implementen cadenas de custodia que aseguren el origen legal de los insumos utilizados en la producción de los bienes y servicios que ofrecen al mercado. Con ese propósito las empresas diseñan e implementan políticas y procedimientos de diligencia debida en su cadena de suministros a través de las cuales supervisan y administran sus compraventas, con el fin de garantizar que no contribuyan con impactos sociales y ambientales adversos. </w:t>
      </w:r>
    </w:p>
    <w:p w14:paraId="4BB4F105" w14:textId="77777777" w:rsidR="00EB7496" w:rsidRPr="00990CB0" w:rsidRDefault="00EB7496" w:rsidP="00E74CA5">
      <w:pPr>
        <w:shd w:val="clear" w:color="auto" w:fill="FFFFFF"/>
        <w:spacing w:after="0" w:line="240" w:lineRule="auto"/>
        <w:ind w:left="426"/>
        <w:jc w:val="both"/>
        <w:rPr>
          <w:rFonts w:ascii="Arial" w:eastAsia="Calibri" w:hAnsi="Arial" w:cs="Arial"/>
          <w:sz w:val="20"/>
          <w:szCs w:val="20"/>
        </w:rPr>
      </w:pPr>
    </w:p>
    <w:p w14:paraId="778F22FB" w14:textId="5D79096C" w:rsidR="00B426EB" w:rsidRPr="00990CB0" w:rsidRDefault="00B426EB" w:rsidP="00E74CA5">
      <w:pPr>
        <w:shd w:val="clear" w:color="auto" w:fill="FFFFFF"/>
        <w:spacing w:after="0" w:line="240" w:lineRule="auto"/>
        <w:ind w:left="426"/>
        <w:jc w:val="both"/>
        <w:rPr>
          <w:rFonts w:ascii="Arial" w:eastAsia="Calibri" w:hAnsi="Arial" w:cs="Arial"/>
          <w:sz w:val="20"/>
          <w:szCs w:val="20"/>
        </w:rPr>
      </w:pPr>
      <w:r w:rsidRPr="00990CB0">
        <w:rPr>
          <w:rFonts w:ascii="Arial" w:eastAsia="Calibri" w:hAnsi="Arial" w:cs="Arial"/>
          <w:sz w:val="20"/>
          <w:szCs w:val="20"/>
        </w:rPr>
        <w:t>En el ámbito del comercio internacional, de materias primas este concepto se vuelve especialmente relevante por la creciente pero aun limitada demanda global</w:t>
      </w:r>
      <w:r w:rsidRPr="00990CB0">
        <w:rPr>
          <w:rFonts w:ascii="Arial" w:eastAsia="Calibri" w:hAnsi="Arial" w:cs="Arial"/>
          <w:sz w:val="20"/>
          <w:szCs w:val="20"/>
          <w:vertAlign w:val="superscript"/>
        </w:rPr>
        <w:footnoteReference w:id="2"/>
      </w:r>
      <w:r w:rsidRPr="00990CB0">
        <w:rPr>
          <w:rFonts w:ascii="Arial" w:eastAsia="Calibri" w:hAnsi="Arial" w:cs="Arial"/>
          <w:sz w:val="20"/>
          <w:szCs w:val="20"/>
        </w:rPr>
        <w:t xml:space="preserve"> de materias </w:t>
      </w:r>
      <w:r w:rsidRPr="00990CB0">
        <w:rPr>
          <w:rFonts w:ascii="Arial" w:eastAsia="Calibri" w:hAnsi="Arial" w:cs="Arial"/>
          <w:sz w:val="20"/>
          <w:szCs w:val="20"/>
        </w:rPr>
        <w:lastRenderedPageBreak/>
        <w:t xml:space="preserve">primas cuya extracción cumpla estándares especiales, cuando estos provienen de zonas de conflicto o alto riesgo, o con </w:t>
      </w:r>
      <w:r w:rsidR="00D912D4" w:rsidRPr="00990CB0">
        <w:rPr>
          <w:rFonts w:ascii="Arial" w:eastAsia="Calibri" w:hAnsi="Arial" w:cs="Arial"/>
          <w:sz w:val="20"/>
          <w:szCs w:val="20"/>
        </w:rPr>
        <w:t>las regulaciones</w:t>
      </w:r>
      <w:r w:rsidRPr="00990CB0">
        <w:rPr>
          <w:rFonts w:ascii="Arial" w:eastAsia="Calibri" w:hAnsi="Arial" w:cs="Arial"/>
          <w:sz w:val="20"/>
          <w:szCs w:val="20"/>
        </w:rPr>
        <w:t xml:space="preserve"> nacionales de los países exportadores de materias primas. </w:t>
      </w:r>
    </w:p>
    <w:p w14:paraId="493DF30A" w14:textId="77777777" w:rsidR="00EB7496" w:rsidRPr="00990CB0" w:rsidRDefault="00EB7496" w:rsidP="00E74CA5">
      <w:pPr>
        <w:shd w:val="clear" w:color="auto" w:fill="FFFFFF"/>
        <w:spacing w:after="0" w:line="240" w:lineRule="auto"/>
        <w:ind w:left="426"/>
        <w:jc w:val="both"/>
        <w:rPr>
          <w:rFonts w:ascii="Arial" w:eastAsia="Calibri" w:hAnsi="Arial" w:cs="Arial"/>
          <w:sz w:val="20"/>
          <w:szCs w:val="20"/>
        </w:rPr>
      </w:pPr>
    </w:p>
    <w:p w14:paraId="68A1AA36" w14:textId="589C08D8" w:rsidR="00EB7496" w:rsidRPr="00990CB0" w:rsidRDefault="00B426EB" w:rsidP="00E74CA5">
      <w:pPr>
        <w:shd w:val="clear" w:color="auto" w:fill="FFFFFF"/>
        <w:spacing w:after="0" w:line="240" w:lineRule="auto"/>
        <w:ind w:left="426"/>
        <w:jc w:val="both"/>
        <w:rPr>
          <w:rFonts w:ascii="Arial" w:eastAsia="Calibri" w:hAnsi="Arial" w:cs="Arial"/>
          <w:sz w:val="20"/>
          <w:szCs w:val="20"/>
        </w:rPr>
      </w:pPr>
      <w:r w:rsidRPr="00990CB0">
        <w:rPr>
          <w:rFonts w:ascii="Arial" w:eastAsia="Calibri" w:hAnsi="Arial" w:cs="Arial"/>
          <w:sz w:val="20"/>
          <w:szCs w:val="20"/>
        </w:rPr>
        <w:t xml:space="preserve">En ese marco, muchos países importadores de oro han ido </w:t>
      </w:r>
      <w:r w:rsidR="00C83454" w:rsidRPr="00990CB0">
        <w:rPr>
          <w:rFonts w:ascii="Arial" w:eastAsia="Calibri" w:hAnsi="Arial" w:cs="Arial"/>
          <w:sz w:val="20"/>
          <w:szCs w:val="20"/>
        </w:rPr>
        <w:t>implementando</w:t>
      </w:r>
      <w:r w:rsidRPr="00990CB0">
        <w:rPr>
          <w:rFonts w:ascii="Arial" w:eastAsia="Calibri" w:hAnsi="Arial" w:cs="Arial"/>
          <w:sz w:val="20"/>
          <w:szCs w:val="20"/>
        </w:rPr>
        <w:t xml:space="preserve"> acciones y regulaciones cada vez </w:t>
      </w:r>
      <w:r w:rsidR="00CF683E" w:rsidRPr="00990CB0">
        <w:rPr>
          <w:rFonts w:ascii="Arial" w:eastAsia="Calibri" w:hAnsi="Arial" w:cs="Arial"/>
          <w:sz w:val="20"/>
          <w:szCs w:val="20"/>
        </w:rPr>
        <w:t>más</w:t>
      </w:r>
      <w:r w:rsidRPr="00990CB0">
        <w:rPr>
          <w:rFonts w:ascii="Arial" w:eastAsia="Calibri" w:hAnsi="Arial" w:cs="Arial"/>
          <w:sz w:val="20"/>
          <w:szCs w:val="20"/>
        </w:rPr>
        <w:t xml:space="preserve"> rigurosas sobre la cadena de suministro del oro, tales como la Ley Dodd-Frank o el Reglamento Europeo sobre minerales de conflicto que exige a </w:t>
      </w:r>
      <w:r w:rsidR="00D912D4" w:rsidRPr="00990CB0">
        <w:rPr>
          <w:rFonts w:ascii="Arial" w:eastAsia="Calibri" w:hAnsi="Arial" w:cs="Arial"/>
          <w:sz w:val="20"/>
          <w:szCs w:val="20"/>
        </w:rPr>
        <w:t>todas las empresas europeas</w:t>
      </w:r>
      <w:r w:rsidRPr="00990CB0">
        <w:rPr>
          <w:rFonts w:ascii="Arial" w:eastAsia="Calibri" w:hAnsi="Arial" w:cs="Arial"/>
          <w:sz w:val="20"/>
          <w:szCs w:val="20"/>
        </w:rPr>
        <w:t xml:space="preserve"> que se abastezcan de oro u otro metal en conflicto, implementar y aplicar los lineamientos de trazabilidad de la Guía de Debida Diligencia de la OCDE.  </w:t>
      </w:r>
    </w:p>
    <w:p w14:paraId="1D0BC2D2" w14:textId="77777777" w:rsidR="00EB7496" w:rsidRPr="00990CB0" w:rsidRDefault="00EB7496" w:rsidP="00E74CA5">
      <w:pPr>
        <w:shd w:val="clear" w:color="auto" w:fill="FFFFFF"/>
        <w:spacing w:after="0" w:line="240" w:lineRule="auto"/>
        <w:ind w:left="426"/>
        <w:jc w:val="both"/>
        <w:rPr>
          <w:rFonts w:ascii="Arial" w:eastAsia="Calibri" w:hAnsi="Arial" w:cs="Arial"/>
          <w:sz w:val="20"/>
          <w:szCs w:val="20"/>
        </w:rPr>
      </w:pPr>
    </w:p>
    <w:p w14:paraId="673DA6A9" w14:textId="6C11EB29" w:rsidR="00B426EB" w:rsidRPr="00990CB0" w:rsidRDefault="00B426EB" w:rsidP="00E74CA5">
      <w:pPr>
        <w:shd w:val="clear" w:color="auto" w:fill="FFFFFF"/>
        <w:spacing w:after="0" w:line="240" w:lineRule="auto"/>
        <w:ind w:left="426"/>
        <w:jc w:val="both"/>
        <w:rPr>
          <w:rFonts w:ascii="Arial" w:eastAsia="Calibri" w:hAnsi="Arial" w:cs="Arial"/>
          <w:sz w:val="20"/>
          <w:szCs w:val="20"/>
        </w:rPr>
      </w:pPr>
      <w:r w:rsidRPr="00990CB0">
        <w:rPr>
          <w:rFonts w:ascii="Arial" w:eastAsia="Calibri" w:hAnsi="Arial" w:cs="Arial"/>
          <w:sz w:val="20"/>
          <w:szCs w:val="20"/>
        </w:rPr>
        <w:t xml:space="preserve">Estas exigencias hacen que un país productor y exportador de minerales, deba adoptar conceptos como la trazabilidad para garantizar el origen legal de la producción </w:t>
      </w:r>
      <w:r w:rsidR="00D912D4" w:rsidRPr="00990CB0">
        <w:rPr>
          <w:rFonts w:ascii="Arial" w:eastAsia="Calibri" w:hAnsi="Arial" w:cs="Arial"/>
          <w:sz w:val="20"/>
          <w:szCs w:val="20"/>
        </w:rPr>
        <w:t>aurífera</w:t>
      </w:r>
      <w:r w:rsidRPr="00990CB0">
        <w:rPr>
          <w:rFonts w:ascii="Arial" w:eastAsia="Calibri" w:hAnsi="Arial" w:cs="Arial"/>
          <w:sz w:val="20"/>
          <w:szCs w:val="20"/>
        </w:rPr>
        <w:t xml:space="preserve"> de la MAPE. En el ámbito nacional, este concepto cobra importancia como parte de sus esfuerzos gubernamentales para combatir la extracción y comercialización </w:t>
      </w:r>
      <w:r w:rsidR="00C83454" w:rsidRPr="00990CB0">
        <w:rPr>
          <w:rFonts w:ascii="Arial" w:eastAsia="Calibri" w:hAnsi="Arial" w:cs="Arial"/>
          <w:sz w:val="20"/>
          <w:szCs w:val="20"/>
        </w:rPr>
        <w:t>ilícita</w:t>
      </w:r>
      <w:r w:rsidRPr="00990CB0">
        <w:rPr>
          <w:rFonts w:ascii="Arial" w:eastAsia="Calibri" w:hAnsi="Arial" w:cs="Arial"/>
          <w:sz w:val="20"/>
          <w:szCs w:val="20"/>
        </w:rPr>
        <w:t xml:space="preserve"> de recursos naturales.  </w:t>
      </w:r>
    </w:p>
    <w:p w14:paraId="432FA053" w14:textId="77777777" w:rsidR="00EB7496" w:rsidRPr="00990CB0" w:rsidRDefault="00EB7496" w:rsidP="00E74CA5">
      <w:pPr>
        <w:shd w:val="clear" w:color="auto" w:fill="FFFFFF"/>
        <w:spacing w:after="0" w:line="240" w:lineRule="auto"/>
        <w:ind w:left="426"/>
        <w:jc w:val="both"/>
        <w:rPr>
          <w:rFonts w:ascii="Arial" w:eastAsia="Calibri" w:hAnsi="Arial" w:cs="Arial"/>
          <w:sz w:val="20"/>
          <w:szCs w:val="20"/>
        </w:rPr>
      </w:pPr>
    </w:p>
    <w:p w14:paraId="15265E75" w14:textId="2E4230CD" w:rsidR="00B426EB" w:rsidRPr="00990CB0" w:rsidRDefault="00B426EB" w:rsidP="00E74CA5">
      <w:pPr>
        <w:shd w:val="clear" w:color="auto" w:fill="FFFFFF"/>
        <w:spacing w:after="0" w:line="240" w:lineRule="auto"/>
        <w:ind w:left="426"/>
        <w:jc w:val="both"/>
        <w:rPr>
          <w:rFonts w:ascii="Arial" w:eastAsia="Calibri" w:hAnsi="Arial" w:cs="Arial"/>
          <w:sz w:val="20"/>
          <w:szCs w:val="20"/>
        </w:rPr>
      </w:pPr>
      <w:r w:rsidRPr="00990CB0">
        <w:rPr>
          <w:rFonts w:ascii="Arial" w:eastAsia="Calibri" w:hAnsi="Arial" w:cs="Arial"/>
          <w:sz w:val="20"/>
          <w:szCs w:val="20"/>
        </w:rPr>
        <w:t xml:space="preserve">En Perú, el sector minero solo establece de manera general la obligación de los compradores de productos </w:t>
      </w:r>
      <w:r w:rsidR="00D912D4" w:rsidRPr="00990CB0">
        <w:rPr>
          <w:rFonts w:ascii="Arial" w:eastAsia="Calibri" w:hAnsi="Arial" w:cs="Arial"/>
          <w:sz w:val="20"/>
          <w:szCs w:val="20"/>
        </w:rPr>
        <w:t>minerales de</w:t>
      </w:r>
      <w:r w:rsidRPr="00990CB0">
        <w:rPr>
          <w:rFonts w:ascii="Arial" w:eastAsia="Calibri" w:hAnsi="Arial" w:cs="Arial"/>
          <w:sz w:val="20"/>
          <w:szCs w:val="20"/>
        </w:rPr>
        <w:t xml:space="preserve"> verificar el origen de las sustancias minerales (Art 4, TUO Ley General de Minería)</w:t>
      </w:r>
      <w:r w:rsidRPr="00990CB0">
        <w:rPr>
          <w:rFonts w:ascii="Arial" w:eastAsia="Calibri" w:hAnsi="Arial" w:cs="Arial"/>
          <w:sz w:val="20"/>
          <w:szCs w:val="20"/>
          <w:vertAlign w:val="superscript"/>
        </w:rPr>
        <w:footnoteReference w:id="3"/>
      </w:r>
      <w:r w:rsidRPr="00990CB0">
        <w:rPr>
          <w:rFonts w:ascii="Arial" w:eastAsia="Calibri" w:hAnsi="Arial" w:cs="Arial"/>
          <w:sz w:val="20"/>
          <w:szCs w:val="20"/>
        </w:rPr>
        <w:t>. Sin embargo, aún sin que haya una defi</w:t>
      </w:r>
      <w:r w:rsidR="00857905" w:rsidRPr="00990CB0">
        <w:rPr>
          <w:rFonts w:ascii="Arial" w:eastAsia="Calibri" w:hAnsi="Arial" w:cs="Arial"/>
          <w:sz w:val="20"/>
          <w:szCs w:val="20"/>
        </w:rPr>
        <w:t>ni</w:t>
      </w:r>
      <w:r w:rsidRPr="00990CB0">
        <w:rPr>
          <w:rFonts w:ascii="Arial" w:eastAsia="Calibri" w:hAnsi="Arial" w:cs="Arial"/>
          <w:sz w:val="20"/>
          <w:szCs w:val="20"/>
        </w:rPr>
        <w:t xml:space="preserve">ción normativa expresa de “trazabilidad”, desde el 2012 se ha desarrollado una variedad de instrumentos normativos orientados a formalizar las actividades de pequeña minera y minería artesanal y combatir la minería ilegal.  Desde entonces el subsector de la </w:t>
      </w:r>
      <w:r w:rsidR="00857905" w:rsidRPr="00990CB0">
        <w:rPr>
          <w:rFonts w:ascii="Arial" w:eastAsia="Calibri" w:hAnsi="Arial" w:cs="Arial"/>
          <w:sz w:val="20"/>
          <w:szCs w:val="20"/>
        </w:rPr>
        <w:t xml:space="preserve">pequeña minería y minería artesanal ha </w:t>
      </w:r>
      <w:r w:rsidRPr="00990CB0">
        <w:rPr>
          <w:rFonts w:ascii="Arial" w:eastAsia="Calibri" w:hAnsi="Arial" w:cs="Arial"/>
          <w:sz w:val="20"/>
          <w:szCs w:val="20"/>
        </w:rPr>
        <w:t>enfrenta</w:t>
      </w:r>
      <w:r w:rsidR="00857905" w:rsidRPr="00990CB0">
        <w:rPr>
          <w:rFonts w:ascii="Arial" w:eastAsia="Calibri" w:hAnsi="Arial" w:cs="Arial"/>
          <w:sz w:val="20"/>
          <w:szCs w:val="20"/>
        </w:rPr>
        <w:t>do</w:t>
      </w:r>
      <w:r w:rsidRPr="00990CB0">
        <w:rPr>
          <w:rFonts w:ascii="Arial" w:eastAsia="Calibri" w:hAnsi="Arial" w:cs="Arial"/>
          <w:sz w:val="20"/>
          <w:szCs w:val="20"/>
        </w:rPr>
        <w:t xml:space="preserve"> el reto de contar con un marco institucional y regulatorio que facilite y promueva la implementación de prácticas de diligencia debida y permita la intervención articulada y coherente de los agentes estatales encargados del control y supervisión de la </w:t>
      </w:r>
      <w:r w:rsidR="00D912D4" w:rsidRPr="00990CB0">
        <w:rPr>
          <w:rFonts w:ascii="Arial" w:eastAsia="Calibri" w:hAnsi="Arial" w:cs="Arial"/>
          <w:sz w:val="20"/>
          <w:szCs w:val="20"/>
        </w:rPr>
        <w:t>extracción, traslado</w:t>
      </w:r>
      <w:r w:rsidRPr="00990CB0">
        <w:rPr>
          <w:rFonts w:ascii="Arial" w:eastAsia="Calibri" w:hAnsi="Arial" w:cs="Arial"/>
          <w:sz w:val="20"/>
          <w:szCs w:val="20"/>
        </w:rPr>
        <w:t xml:space="preserve"> y comercialización de minerales. </w:t>
      </w:r>
    </w:p>
    <w:p w14:paraId="7C025ADC" w14:textId="77777777" w:rsidR="00EB7496" w:rsidRPr="00990CB0" w:rsidRDefault="00EB7496" w:rsidP="00E74CA5">
      <w:pPr>
        <w:shd w:val="clear" w:color="auto" w:fill="FFFFFF"/>
        <w:spacing w:after="0" w:line="240" w:lineRule="auto"/>
        <w:ind w:left="426"/>
        <w:jc w:val="both"/>
        <w:rPr>
          <w:rFonts w:ascii="Arial" w:eastAsia="Calibri" w:hAnsi="Arial" w:cs="Arial"/>
          <w:sz w:val="20"/>
          <w:szCs w:val="20"/>
        </w:rPr>
      </w:pPr>
    </w:p>
    <w:p w14:paraId="01649825" w14:textId="77777777" w:rsidR="00B426EB" w:rsidRPr="00990CB0" w:rsidRDefault="00B426EB" w:rsidP="00E74CA5">
      <w:pPr>
        <w:shd w:val="clear" w:color="auto" w:fill="FFFFFF"/>
        <w:spacing w:after="0" w:line="240" w:lineRule="auto"/>
        <w:ind w:left="426"/>
        <w:jc w:val="both"/>
        <w:rPr>
          <w:rFonts w:ascii="Arial" w:eastAsia="Calibri" w:hAnsi="Arial" w:cs="Arial"/>
          <w:sz w:val="20"/>
          <w:szCs w:val="20"/>
        </w:rPr>
      </w:pPr>
      <w:r w:rsidRPr="00990CB0">
        <w:rPr>
          <w:rFonts w:ascii="Arial" w:eastAsia="Calibri" w:hAnsi="Arial" w:cs="Arial"/>
          <w:sz w:val="20"/>
          <w:szCs w:val="20"/>
        </w:rPr>
        <w:t xml:space="preserve">En las siguientes secciones </w:t>
      </w:r>
      <w:r w:rsidR="00EB21A8" w:rsidRPr="00990CB0">
        <w:rPr>
          <w:rFonts w:ascii="Arial" w:eastAsia="Calibri" w:hAnsi="Arial" w:cs="Arial"/>
          <w:sz w:val="20"/>
          <w:szCs w:val="20"/>
        </w:rPr>
        <w:t>se describe</w:t>
      </w:r>
      <w:r w:rsidRPr="00990CB0">
        <w:rPr>
          <w:rFonts w:ascii="Arial" w:eastAsia="Calibri" w:hAnsi="Arial" w:cs="Arial"/>
          <w:sz w:val="20"/>
          <w:szCs w:val="20"/>
        </w:rPr>
        <w:t xml:space="preserve"> la participación de los agentes públicos y privados en la gestión de la cadena de suministro del oro extraído y comercializado por la </w:t>
      </w:r>
      <w:r w:rsidR="00EB21A8" w:rsidRPr="00990CB0">
        <w:rPr>
          <w:rFonts w:ascii="Arial" w:eastAsia="Calibri" w:hAnsi="Arial" w:cs="Arial"/>
          <w:sz w:val="20"/>
          <w:szCs w:val="20"/>
        </w:rPr>
        <w:t>pequeña minería y minería artesanal</w:t>
      </w:r>
      <w:r w:rsidRPr="00990CB0">
        <w:rPr>
          <w:rFonts w:ascii="Arial" w:eastAsia="Calibri" w:hAnsi="Arial" w:cs="Arial"/>
          <w:sz w:val="20"/>
          <w:szCs w:val="20"/>
        </w:rPr>
        <w:t xml:space="preserve"> identificando los principales problemas y propuestas de solución.    </w:t>
      </w:r>
    </w:p>
    <w:p w14:paraId="0B2D7E6A" w14:textId="77777777" w:rsidR="00B426EB" w:rsidRPr="00990CB0" w:rsidRDefault="00B426EB" w:rsidP="00E74CA5">
      <w:pPr>
        <w:spacing w:after="0" w:line="240" w:lineRule="auto"/>
        <w:jc w:val="both"/>
        <w:rPr>
          <w:rFonts w:ascii="Arial" w:eastAsia="Yu Mincho" w:hAnsi="Arial" w:cs="Arial"/>
          <w:b/>
          <w:bCs/>
          <w:sz w:val="20"/>
          <w:szCs w:val="20"/>
          <w:lang w:eastAsia="es-PE"/>
        </w:rPr>
      </w:pPr>
    </w:p>
    <w:p w14:paraId="6B575A1C" w14:textId="77777777" w:rsidR="00B426EB" w:rsidRPr="00990CB0" w:rsidRDefault="00B426EB" w:rsidP="00E74CA5">
      <w:pPr>
        <w:shd w:val="clear" w:color="auto" w:fill="FFFFFF"/>
        <w:spacing w:after="0" w:line="240" w:lineRule="auto"/>
        <w:ind w:left="426"/>
        <w:jc w:val="both"/>
        <w:rPr>
          <w:rFonts w:ascii="Arial" w:eastAsia="Times New Roman" w:hAnsi="Arial" w:cs="Arial"/>
          <w:b/>
          <w:bCs/>
          <w:sz w:val="20"/>
          <w:szCs w:val="20"/>
          <w:lang w:eastAsia="es-PE"/>
        </w:rPr>
      </w:pPr>
      <w:r w:rsidRPr="00990CB0">
        <w:rPr>
          <w:rFonts w:ascii="Arial" w:eastAsia="Times New Roman" w:hAnsi="Arial" w:cs="Arial"/>
          <w:b/>
          <w:bCs/>
          <w:sz w:val="20"/>
          <w:szCs w:val="20"/>
          <w:lang w:eastAsia="es-PE"/>
        </w:rPr>
        <w:t>Actores que regulan e intervienen en el proceso de comercialización del oro y sus áreas de competencia relacionada</w:t>
      </w:r>
    </w:p>
    <w:p w14:paraId="1128D2F5" w14:textId="77777777" w:rsidR="00B426EB" w:rsidRPr="00990CB0" w:rsidRDefault="00B426EB" w:rsidP="00E74CA5">
      <w:pPr>
        <w:spacing w:after="0" w:line="240" w:lineRule="auto"/>
        <w:ind w:left="426"/>
        <w:jc w:val="both"/>
        <w:rPr>
          <w:rFonts w:ascii="Arial" w:eastAsia="Yu Mincho" w:hAnsi="Arial" w:cs="Arial"/>
          <w:b/>
          <w:bCs/>
          <w:sz w:val="20"/>
          <w:szCs w:val="20"/>
          <w:lang w:eastAsia="es-PE"/>
        </w:rPr>
      </w:pPr>
    </w:p>
    <w:p w14:paraId="6631B6BA" w14:textId="77777777" w:rsidR="00B426EB" w:rsidRPr="00990CB0" w:rsidRDefault="00B426EB" w:rsidP="00E74CA5">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t xml:space="preserve">El </w:t>
      </w:r>
      <w:r w:rsidR="00EB21A8" w:rsidRPr="00990CB0">
        <w:rPr>
          <w:rFonts w:ascii="Arial" w:eastAsia="Yu Mincho" w:hAnsi="Arial" w:cs="Arial"/>
          <w:sz w:val="20"/>
          <w:szCs w:val="20"/>
          <w:lang w:eastAsia="es-PE"/>
        </w:rPr>
        <w:t>Ministerio</w:t>
      </w:r>
      <w:r w:rsidR="00A45C81" w:rsidRPr="00990CB0">
        <w:rPr>
          <w:rFonts w:ascii="Arial" w:eastAsia="Yu Mincho" w:hAnsi="Arial" w:cs="Arial"/>
          <w:sz w:val="20"/>
          <w:szCs w:val="20"/>
          <w:lang w:eastAsia="es-PE"/>
        </w:rPr>
        <w:t xml:space="preserve"> </w:t>
      </w:r>
      <w:r w:rsidR="00EB21A8" w:rsidRPr="00990CB0">
        <w:rPr>
          <w:rFonts w:ascii="Arial" w:eastAsia="Yu Mincho" w:hAnsi="Arial" w:cs="Arial"/>
          <w:sz w:val="20"/>
          <w:szCs w:val="20"/>
          <w:lang w:eastAsia="es-PE"/>
        </w:rPr>
        <w:t>de Energía y Minas</w:t>
      </w:r>
      <w:r w:rsidRPr="00990CB0">
        <w:rPr>
          <w:rFonts w:ascii="Arial" w:eastAsia="Yu Mincho" w:hAnsi="Arial" w:cs="Arial"/>
          <w:sz w:val="20"/>
          <w:szCs w:val="20"/>
          <w:lang w:eastAsia="es-PE"/>
        </w:rPr>
        <w:t>, a través de la D</w:t>
      </w:r>
      <w:r w:rsidR="003A656A" w:rsidRPr="00990CB0">
        <w:rPr>
          <w:rFonts w:ascii="Arial" w:eastAsia="Yu Mincho" w:hAnsi="Arial" w:cs="Arial"/>
          <w:sz w:val="20"/>
          <w:szCs w:val="20"/>
          <w:lang w:eastAsia="es-PE"/>
        </w:rPr>
        <w:t xml:space="preserve">irección </w:t>
      </w:r>
      <w:r w:rsidRPr="00990CB0">
        <w:rPr>
          <w:rFonts w:ascii="Arial" w:eastAsia="Yu Mincho" w:hAnsi="Arial" w:cs="Arial"/>
          <w:sz w:val="20"/>
          <w:szCs w:val="20"/>
          <w:lang w:eastAsia="es-PE"/>
        </w:rPr>
        <w:t>G</w:t>
      </w:r>
      <w:r w:rsidR="003A656A" w:rsidRPr="00990CB0">
        <w:rPr>
          <w:rFonts w:ascii="Arial" w:eastAsia="Yu Mincho" w:hAnsi="Arial" w:cs="Arial"/>
          <w:sz w:val="20"/>
          <w:szCs w:val="20"/>
          <w:lang w:eastAsia="es-PE"/>
        </w:rPr>
        <w:t xml:space="preserve">eneral de </w:t>
      </w:r>
      <w:r w:rsidRPr="00990CB0">
        <w:rPr>
          <w:rFonts w:ascii="Arial" w:eastAsia="Yu Mincho" w:hAnsi="Arial" w:cs="Arial"/>
          <w:sz w:val="20"/>
          <w:szCs w:val="20"/>
          <w:lang w:eastAsia="es-PE"/>
        </w:rPr>
        <w:t>F</w:t>
      </w:r>
      <w:r w:rsidR="003A656A" w:rsidRPr="00990CB0">
        <w:rPr>
          <w:rFonts w:ascii="Arial" w:eastAsia="Yu Mincho" w:hAnsi="Arial" w:cs="Arial"/>
          <w:sz w:val="20"/>
          <w:szCs w:val="20"/>
          <w:lang w:eastAsia="es-PE"/>
        </w:rPr>
        <w:t xml:space="preserve">ormalización </w:t>
      </w:r>
      <w:r w:rsidRPr="00990CB0">
        <w:rPr>
          <w:rFonts w:ascii="Arial" w:eastAsia="Yu Mincho" w:hAnsi="Arial" w:cs="Arial"/>
          <w:sz w:val="20"/>
          <w:szCs w:val="20"/>
          <w:lang w:eastAsia="es-PE"/>
        </w:rPr>
        <w:t>M</w:t>
      </w:r>
      <w:r w:rsidR="003A656A" w:rsidRPr="00990CB0">
        <w:rPr>
          <w:rFonts w:ascii="Arial" w:eastAsia="Yu Mincho" w:hAnsi="Arial" w:cs="Arial"/>
          <w:sz w:val="20"/>
          <w:szCs w:val="20"/>
          <w:lang w:eastAsia="es-PE"/>
        </w:rPr>
        <w:t>inera</w:t>
      </w:r>
      <w:r w:rsidRPr="00990CB0">
        <w:rPr>
          <w:rFonts w:ascii="Arial" w:eastAsia="Yu Mincho" w:hAnsi="Arial" w:cs="Arial"/>
          <w:sz w:val="20"/>
          <w:szCs w:val="20"/>
          <w:lang w:eastAsia="es-PE"/>
        </w:rPr>
        <w:t xml:space="preserve"> es el ente rector encargado de proponer y evaluar la política sobre formalización minera y expedir la normatividad necesaria orientada a la formaliza</w:t>
      </w:r>
      <w:r w:rsidR="00424DB6" w:rsidRPr="00990CB0">
        <w:rPr>
          <w:rFonts w:ascii="Arial" w:eastAsia="Yu Mincho" w:hAnsi="Arial" w:cs="Arial"/>
          <w:sz w:val="20"/>
          <w:szCs w:val="20"/>
          <w:lang w:eastAsia="es-PE"/>
        </w:rPr>
        <w:t>ción de las actividades mineras y</w:t>
      </w:r>
      <w:r w:rsidRPr="00990CB0">
        <w:rPr>
          <w:rFonts w:ascii="Arial" w:eastAsia="Yu Mincho" w:hAnsi="Arial" w:cs="Arial"/>
          <w:sz w:val="20"/>
          <w:szCs w:val="20"/>
          <w:lang w:eastAsia="es-PE"/>
        </w:rPr>
        <w:t>, tiene entre sus principales funciones:</w:t>
      </w:r>
    </w:p>
    <w:p w14:paraId="1C3BE07A" w14:textId="77777777" w:rsidR="00B426EB" w:rsidRPr="00990CB0" w:rsidRDefault="00B426EB" w:rsidP="00E74CA5">
      <w:pPr>
        <w:spacing w:after="0" w:line="240" w:lineRule="auto"/>
        <w:ind w:left="426"/>
        <w:jc w:val="both"/>
        <w:rPr>
          <w:rFonts w:ascii="Arial" w:eastAsia="Yu Mincho" w:hAnsi="Arial" w:cs="Arial"/>
          <w:sz w:val="20"/>
          <w:szCs w:val="20"/>
          <w:lang w:eastAsia="es-PE"/>
        </w:rPr>
      </w:pPr>
    </w:p>
    <w:p w14:paraId="401F792B" w14:textId="77777777" w:rsidR="00B426EB" w:rsidRPr="00990CB0" w:rsidRDefault="00B426EB" w:rsidP="00E74CA5">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t>-</w:t>
      </w:r>
      <w:r w:rsidRPr="00990CB0">
        <w:rPr>
          <w:rFonts w:ascii="Arial" w:eastAsia="Yu Mincho" w:hAnsi="Arial" w:cs="Arial"/>
          <w:sz w:val="20"/>
          <w:szCs w:val="20"/>
          <w:lang w:eastAsia="es-PE"/>
        </w:rPr>
        <w:tab/>
        <w:t>Mantener actualizado el Registro Integral de Formalización Minera (REINFO).</w:t>
      </w:r>
    </w:p>
    <w:p w14:paraId="12784017" w14:textId="77777777" w:rsidR="00B426EB" w:rsidRPr="00990CB0" w:rsidRDefault="00B426EB" w:rsidP="00E74CA5">
      <w:pPr>
        <w:spacing w:after="0" w:line="240" w:lineRule="auto"/>
        <w:ind w:left="709" w:hanging="283"/>
        <w:jc w:val="both"/>
        <w:rPr>
          <w:rFonts w:ascii="Arial" w:eastAsia="Yu Mincho" w:hAnsi="Arial" w:cs="Arial"/>
          <w:sz w:val="20"/>
          <w:szCs w:val="20"/>
          <w:lang w:eastAsia="es-PE"/>
        </w:rPr>
      </w:pPr>
      <w:r w:rsidRPr="00990CB0">
        <w:rPr>
          <w:rFonts w:ascii="Arial" w:eastAsia="Yu Mincho" w:hAnsi="Arial" w:cs="Arial"/>
          <w:sz w:val="20"/>
          <w:szCs w:val="20"/>
          <w:lang w:eastAsia="es-PE"/>
        </w:rPr>
        <w:t>-</w:t>
      </w:r>
      <w:r w:rsidRPr="00990CB0">
        <w:rPr>
          <w:rFonts w:ascii="Arial" w:eastAsia="Yu Mincho" w:hAnsi="Arial" w:cs="Arial"/>
          <w:sz w:val="20"/>
          <w:szCs w:val="20"/>
          <w:lang w:eastAsia="es-PE"/>
        </w:rPr>
        <w:tab/>
        <w:t>Administrar el Registro Especial de Comercializadores y Procesadoras de Oro – RECPO.</w:t>
      </w:r>
    </w:p>
    <w:p w14:paraId="2A3F6130" w14:textId="77777777" w:rsidR="00B426EB" w:rsidRPr="00990CB0" w:rsidRDefault="00B426EB" w:rsidP="00E74CA5">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t>-</w:t>
      </w:r>
      <w:r w:rsidRPr="00990CB0">
        <w:rPr>
          <w:rFonts w:ascii="Arial" w:eastAsia="Yu Mincho" w:hAnsi="Arial" w:cs="Arial"/>
          <w:sz w:val="20"/>
          <w:szCs w:val="20"/>
          <w:lang w:eastAsia="es-PE"/>
        </w:rPr>
        <w:tab/>
        <w:t>Monitorear las acciones relacionadas con la formalización minera.</w:t>
      </w:r>
    </w:p>
    <w:p w14:paraId="5C803611" w14:textId="77777777" w:rsidR="00B426EB" w:rsidRPr="00990CB0" w:rsidRDefault="00B426EB" w:rsidP="00E74CA5">
      <w:pPr>
        <w:spacing w:after="0" w:line="240" w:lineRule="auto"/>
        <w:jc w:val="both"/>
        <w:rPr>
          <w:rFonts w:ascii="Arial" w:eastAsia="Yu Mincho" w:hAnsi="Arial" w:cs="Arial"/>
          <w:sz w:val="20"/>
          <w:szCs w:val="20"/>
          <w:lang w:eastAsia="es-PE"/>
        </w:rPr>
      </w:pPr>
    </w:p>
    <w:p w14:paraId="3DA71CE4" w14:textId="6F3D3D09" w:rsidR="00B426EB" w:rsidRPr="00990CB0" w:rsidRDefault="00B426EB" w:rsidP="00E74CA5">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t xml:space="preserve">Con una tradición de país minero y siendo la informalidad un problema estructural en la economía peruana, desde el 2012, el </w:t>
      </w:r>
      <w:r w:rsidR="00424DB6" w:rsidRPr="00990CB0">
        <w:rPr>
          <w:rFonts w:ascii="Arial" w:eastAsia="Yu Mincho" w:hAnsi="Arial" w:cs="Arial"/>
          <w:sz w:val="20"/>
          <w:szCs w:val="20"/>
          <w:lang w:eastAsia="es-PE"/>
        </w:rPr>
        <w:t xml:space="preserve">Ministerio de Energía </w:t>
      </w:r>
      <w:r w:rsidR="00D912D4" w:rsidRPr="00990CB0">
        <w:rPr>
          <w:rFonts w:ascii="Arial" w:eastAsia="Yu Mincho" w:hAnsi="Arial" w:cs="Arial"/>
          <w:sz w:val="20"/>
          <w:szCs w:val="20"/>
          <w:lang w:eastAsia="es-PE"/>
        </w:rPr>
        <w:t>y Minas</w:t>
      </w:r>
      <w:r w:rsidRPr="00990CB0">
        <w:rPr>
          <w:rFonts w:ascii="Arial" w:eastAsia="Yu Mincho" w:hAnsi="Arial" w:cs="Arial"/>
          <w:sz w:val="20"/>
          <w:szCs w:val="20"/>
          <w:lang w:eastAsia="es-PE"/>
        </w:rPr>
        <w:t xml:space="preserve"> ha generado un know-how importante en materia de formalización minera. Si bien el sector enfrenta retos importantes, derivados en parte del incremento de actividades ilícitas vinculadas a la minería ilegal y el lavado de activos, a la fecha se cuenta con una serie de instrumentos normativos e iniciativas que pueden servir de base para mejorar y perfeccionar los sistemas e incentivos para la trazabilidad y debida diligencia en el subsector MAPE. De especial mención es el Registro Especial de Comercializadores y Procesadores de Oro – RECPO.</w:t>
      </w:r>
    </w:p>
    <w:p w14:paraId="4F0C3430" w14:textId="77777777" w:rsidR="00B426EB" w:rsidRPr="00990CB0" w:rsidRDefault="00B426EB" w:rsidP="00E74CA5">
      <w:pPr>
        <w:spacing w:after="0" w:line="240" w:lineRule="auto"/>
        <w:jc w:val="both"/>
        <w:rPr>
          <w:rFonts w:ascii="Arial" w:eastAsia="Yu Mincho" w:hAnsi="Arial" w:cs="Arial"/>
          <w:sz w:val="20"/>
          <w:szCs w:val="20"/>
          <w:lang w:eastAsia="es-PE"/>
        </w:rPr>
      </w:pPr>
    </w:p>
    <w:p w14:paraId="223AFBB7" w14:textId="77777777" w:rsidR="00C61F79" w:rsidRPr="00990CB0" w:rsidRDefault="00C61F79" w:rsidP="00C61F79">
      <w:pPr>
        <w:spacing w:after="0" w:line="240" w:lineRule="auto"/>
        <w:ind w:firstLine="426"/>
        <w:jc w:val="both"/>
        <w:rPr>
          <w:rFonts w:ascii="Arial" w:eastAsia="Yu Mincho" w:hAnsi="Arial" w:cs="Arial"/>
          <w:bCs/>
          <w:i/>
          <w:sz w:val="20"/>
          <w:szCs w:val="20"/>
          <w:lang w:eastAsia="es-PE"/>
        </w:rPr>
      </w:pPr>
      <w:r w:rsidRPr="00990CB0">
        <w:rPr>
          <w:rFonts w:ascii="Arial" w:eastAsia="Yu Mincho" w:hAnsi="Arial" w:cs="Arial"/>
          <w:bCs/>
          <w:i/>
          <w:sz w:val="20"/>
          <w:szCs w:val="20"/>
          <w:lang w:eastAsia="es-PE"/>
        </w:rPr>
        <w:t>Gobiernos Regionales – Direcciones Regionales de Energía y Minas (DREM)</w:t>
      </w:r>
    </w:p>
    <w:p w14:paraId="4BD772FF" w14:textId="77777777" w:rsidR="00C61F79" w:rsidRPr="00990CB0" w:rsidRDefault="00C61F79" w:rsidP="00C61F79">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lastRenderedPageBreak/>
        <w:t xml:space="preserve">En el marco del proceso de descentralización, los gobiernos regionales, a través de sus direcciones o gerencias regionales de energía y minas, tienen entre sus competencias fomentar y supervisar las actividades de pequeña minería y minería artesanal y la exploración y explotación de los recursos mineros de la región con arreglo a Ley. </w:t>
      </w:r>
    </w:p>
    <w:p w14:paraId="23638079" w14:textId="77777777" w:rsidR="00C61F79" w:rsidRPr="00990CB0" w:rsidRDefault="00C61F79" w:rsidP="00C61F79">
      <w:pPr>
        <w:spacing w:after="0" w:line="240" w:lineRule="auto"/>
        <w:jc w:val="both"/>
        <w:rPr>
          <w:rFonts w:ascii="Arial" w:eastAsia="Yu Mincho" w:hAnsi="Arial" w:cs="Arial"/>
          <w:sz w:val="20"/>
          <w:szCs w:val="20"/>
          <w:lang w:eastAsia="es-PE"/>
        </w:rPr>
      </w:pPr>
    </w:p>
    <w:p w14:paraId="3B4461A6" w14:textId="2E188800" w:rsidR="00C61F79" w:rsidRPr="00990CB0" w:rsidRDefault="00C61F79" w:rsidP="00C61F79">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t xml:space="preserve">En esa línea, el rol de las DREM es clave para generar información relevante para la trazabilidad, por </w:t>
      </w:r>
      <w:r w:rsidR="00D912D4" w:rsidRPr="00990CB0">
        <w:rPr>
          <w:rFonts w:ascii="Arial" w:eastAsia="Yu Mincho" w:hAnsi="Arial" w:cs="Arial"/>
          <w:sz w:val="20"/>
          <w:szCs w:val="20"/>
          <w:lang w:eastAsia="es-PE"/>
        </w:rPr>
        <w:t>ejemplo,</w:t>
      </w:r>
      <w:r w:rsidRPr="00990CB0">
        <w:rPr>
          <w:rFonts w:ascii="Arial" w:eastAsia="Yu Mincho" w:hAnsi="Arial" w:cs="Arial"/>
          <w:sz w:val="20"/>
          <w:szCs w:val="20"/>
          <w:lang w:eastAsia="es-PE"/>
        </w:rPr>
        <w:t xml:space="preserve"> verificando en campo y de manera </w:t>
      </w:r>
      <w:r w:rsidR="00D912D4" w:rsidRPr="00990CB0">
        <w:rPr>
          <w:rFonts w:ascii="Arial" w:eastAsia="Yu Mincho" w:hAnsi="Arial" w:cs="Arial"/>
          <w:sz w:val="20"/>
          <w:szCs w:val="20"/>
          <w:lang w:eastAsia="es-PE"/>
        </w:rPr>
        <w:t>aleatoria el</w:t>
      </w:r>
      <w:r w:rsidRPr="00990CB0">
        <w:rPr>
          <w:rFonts w:ascii="Arial" w:eastAsia="Yu Mincho" w:hAnsi="Arial" w:cs="Arial"/>
          <w:sz w:val="20"/>
          <w:szCs w:val="20"/>
          <w:lang w:eastAsia="es-PE"/>
        </w:rPr>
        <w:t xml:space="preserve"> volumen y origen de la producción de la</w:t>
      </w:r>
      <w:r w:rsidR="002D3A7B" w:rsidRPr="00990CB0">
        <w:rPr>
          <w:rFonts w:ascii="Arial" w:eastAsia="Yu Mincho" w:hAnsi="Arial" w:cs="Arial"/>
          <w:sz w:val="20"/>
          <w:szCs w:val="20"/>
          <w:lang w:eastAsia="es-PE"/>
        </w:rPr>
        <w:t xml:space="preserve"> minería en pequeña escala</w:t>
      </w:r>
      <w:r w:rsidR="00DA19BC" w:rsidRPr="00990CB0">
        <w:rPr>
          <w:rFonts w:ascii="Arial" w:eastAsia="Yu Mincho" w:hAnsi="Arial" w:cs="Arial"/>
          <w:sz w:val="20"/>
          <w:szCs w:val="20"/>
          <w:lang w:eastAsia="es-PE"/>
        </w:rPr>
        <w:t>. El conocimiento detalla</w:t>
      </w:r>
      <w:r w:rsidRPr="00990CB0">
        <w:rPr>
          <w:rFonts w:ascii="Arial" w:eastAsia="Yu Mincho" w:hAnsi="Arial" w:cs="Arial"/>
          <w:sz w:val="20"/>
          <w:szCs w:val="20"/>
          <w:lang w:eastAsia="es-PE"/>
        </w:rPr>
        <w:t xml:space="preserve">do de la realidad minera en su región las hace idóneas para contribuir en esta tarea, sin </w:t>
      </w:r>
      <w:r w:rsidR="00D912D4" w:rsidRPr="00990CB0">
        <w:rPr>
          <w:rFonts w:ascii="Arial" w:eastAsia="Yu Mincho" w:hAnsi="Arial" w:cs="Arial"/>
          <w:sz w:val="20"/>
          <w:szCs w:val="20"/>
          <w:lang w:eastAsia="es-PE"/>
        </w:rPr>
        <w:t>embargo,</w:t>
      </w:r>
      <w:r w:rsidRPr="00990CB0">
        <w:rPr>
          <w:rFonts w:ascii="Arial" w:eastAsia="Yu Mincho" w:hAnsi="Arial" w:cs="Arial"/>
          <w:sz w:val="20"/>
          <w:szCs w:val="20"/>
          <w:lang w:eastAsia="es-PE"/>
        </w:rPr>
        <w:t xml:space="preserve"> se requiere su fortalecimiento a nivel presupuestal y de gestión. </w:t>
      </w:r>
    </w:p>
    <w:p w14:paraId="4962DFEA" w14:textId="77777777" w:rsidR="00C61F79" w:rsidRPr="00990CB0" w:rsidRDefault="00C61F79" w:rsidP="00C61F79">
      <w:pPr>
        <w:spacing w:after="0" w:line="240" w:lineRule="auto"/>
        <w:jc w:val="both"/>
        <w:rPr>
          <w:rFonts w:ascii="Arial" w:eastAsia="Yu Mincho" w:hAnsi="Arial" w:cs="Arial"/>
          <w:b/>
          <w:bCs/>
          <w:sz w:val="20"/>
          <w:szCs w:val="20"/>
          <w:lang w:eastAsia="es-PE"/>
        </w:rPr>
      </w:pPr>
    </w:p>
    <w:p w14:paraId="71350034" w14:textId="77777777" w:rsidR="00C61F79" w:rsidRPr="00990CB0" w:rsidRDefault="00C61F79" w:rsidP="00C61F79">
      <w:pPr>
        <w:spacing w:after="0" w:line="240" w:lineRule="auto"/>
        <w:ind w:firstLine="426"/>
        <w:jc w:val="both"/>
        <w:rPr>
          <w:rFonts w:ascii="Arial" w:eastAsia="Yu Mincho" w:hAnsi="Arial" w:cs="Arial"/>
          <w:bCs/>
          <w:i/>
          <w:sz w:val="20"/>
          <w:szCs w:val="20"/>
          <w:lang w:eastAsia="es-PE"/>
        </w:rPr>
      </w:pPr>
      <w:r w:rsidRPr="00990CB0">
        <w:rPr>
          <w:rFonts w:ascii="Arial" w:eastAsia="Yu Mincho" w:hAnsi="Arial" w:cs="Arial"/>
          <w:bCs/>
          <w:i/>
          <w:sz w:val="20"/>
          <w:szCs w:val="20"/>
          <w:lang w:eastAsia="es-PE"/>
        </w:rPr>
        <w:t>Superintendencia Nacional de Aduanas y de Administración Tributaria-SUNAT</w:t>
      </w:r>
    </w:p>
    <w:p w14:paraId="1955AFD2" w14:textId="0F808E89" w:rsidR="00C61F79" w:rsidRPr="00990CB0" w:rsidRDefault="00C61F79" w:rsidP="00C61F79">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t xml:space="preserve">Creada por Ley N° 24829, modificada por Ley </w:t>
      </w:r>
      <w:r w:rsidR="00D912D4" w:rsidRPr="00990CB0">
        <w:rPr>
          <w:rFonts w:ascii="Arial" w:eastAsia="Yu Mincho" w:hAnsi="Arial" w:cs="Arial"/>
          <w:sz w:val="20"/>
          <w:szCs w:val="20"/>
          <w:lang w:eastAsia="es-PE"/>
        </w:rPr>
        <w:t>29816, la</w:t>
      </w:r>
      <w:r w:rsidRPr="00990CB0">
        <w:rPr>
          <w:rFonts w:ascii="Arial" w:eastAsia="Yu Mincho" w:hAnsi="Arial" w:cs="Arial"/>
          <w:sz w:val="20"/>
          <w:szCs w:val="20"/>
          <w:lang w:eastAsia="es-PE"/>
        </w:rPr>
        <w:t xml:space="preserve"> SUNAT tienen una vasta experiencia en el control de tráfico de mercancías y una capacidad instalada </w:t>
      </w:r>
      <w:r w:rsidR="00D912D4" w:rsidRPr="00990CB0">
        <w:rPr>
          <w:rFonts w:ascii="Arial" w:eastAsia="Yu Mincho" w:hAnsi="Arial" w:cs="Arial"/>
          <w:sz w:val="20"/>
          <w:szCs w:val="20"/>
          <w:lang w:eastAsia="es-PE"/>
        </w:rPr>
        <w:t>importante que</w:t>
      </w:r>
      <w:r w:rsidRPr="00990CB0">
        <w:rPr>
          <w:rFonts w:ascii="Arial" w:eastAsia="Yu Mincho" w:hAnsi="Arial" w:cs="Arial"/>
          <w:sz w:val="20"/>
          <w:szCs w:val="20"/>
          <w:lang w:eastAsia="es-PE"/>
        </w:rPr>
        <w:t xml:space="preserve"> le permite interactuar con sus usuarios de manera fluida. Su rol en la implementación de medidas para fortalecer la trazabilidad de minerales en el Perú es clave porque interviene en dos procesos fundamentales para la pequeña minería y minería artesanal: el control del cianuro y el mercurio (dos insumos clave en la actividad minera de pequeña escala) y el control de aduanero para prevenir y reprimir la comisión de delitos aduaneros y el tráfico ilícito de bienes.</w:t>
      </w:r>
    </w:p>
    <w:p w14:paraId="0746D88B" w14:textId="77777777" w:rsidR="00C61F79" w:rsidRPr="00990CB0" w:rsidRDefault="00C61F79" w:rsidP="00C61F79">
      <w:pPr>
        <w:spacing w:after="0" w:line="240" w:lineRule="auto"/>
        <w:jc w:val="both"/>
        <w:rPr>
          <w:rFonts w:ascii="Arial" w:eastAsia="Yu Mincho" w:hAnsi="Arial" w:cs="Arial"/>
          <w:b/>
          <w:bCs/>
          <w:i/>
          <w:iCs/>
          <w:sz w:val="20"/>
          <w:szCs w:val="20"/>
          <w:lang w:eastAsia="es-PE"/>
        </w:rPr>
      </w:pPr>
    </w:p>
    <w:p w14:paraId="43EE0A63" w14:textId="77777777" w:rsidR="00C61F79" w:rsidRPr="00990CB0" w:rsidRDefault="00C61F79" w:rsidP="00E74CA5">
      <w:pPr>
        <w:spacing w:after="0" w:line="240" w:lineRule="auto"/>
        <w:jc w:val="both"/>
        <w:rPr>
          <w:rFonts w:ascii="Arial" w:eastAsia="Yu Mincho" w:hAnsi="Arial" w:cs="Arial"/>
          <w:sz w:val="20"/>
          <w:szCs w:val="20"/>
          <w:lang w:eastAsia="es-PE"/>
        </w:rPr>
      </w:pPr>
    </w:p>
    <w:p w14:paraId="1E115328" w14:textId="77777777" w:rsidR="00F3294B" w:rsidRPr="00990CB0" w:rsidRDefault="00F3294B" w:rsidP="00E74CA5">
      <w:pPr>
        <w:spacing w:after="0" w:line="240" w:lineRule="auto"/>
        <w:ind w:left="426"/>
        <w:jc w:val="both"/>
        <w:rPr>
          <w:rFonts w:ascii="Arial" w:eastAsia="Yu Mincho" w:hAnsi="Arial" w:cs="Arial"/>
          <w:b/>
          <w:sz w:val="20"/>
          <w:szCs w:val="20"/>
          <w:lang w:eastAsia="es-PE"/>
        </w:rPr>
      </w:pPr>
      <w:r w:rsidRPr="00990CB0">
        <w:rPr>
          <w:rFonts w:ascii="Arial" w:eastAsia="Yu Mincho" w:hAnsi="Arial" w:cs="Arial"/>
          <w:b/>
          <w:sz w:val="20"/>
          <w:szCs w:val="20"/>
          <w:lang w:eastAsia="es-PE"/>
        </w:rPr>
        <w:t xml:space="preserve">Registro Especial de Comercializadores y Procesadores de Oro – RECPO </w:t>
      </w:r>
    </w:p>
    <w:p w14:paraId="19AFDB2F" w14:textId="77777777" w:rsidR="00F3294B" w:rsidRPr="00990CB0" w:rsidRDefault="00F3294B" w:rsidP="00E74CA5">
      <w:pPr>
        <w:spacing w:after="0" w:line="240" w:lineRule="auto"/>
        <w:ind w:left="426"/>
        <w:jc w:val="both"/>
        <w:rPr>
          <w:rFonts w:ascii="Arial" w:eastAsia="Yu Mincho" w:hAnsi="Arial" w:cs="Arial"/>
          <w:sz w:val="20"/>
          <w:szCs w:val="20"/>
          <w:lang w:eastAsia="es-PE"/>
        </w:rPr>
      </w:pPr>
    </w:p>
    <w:p w14:paraId="0A784FA7" w14:textId="77777777" w:rsidR="00B426EB" w:rsidRPr="00990CB0" w:rsidRDefault="00B426EB" w:rsidP="00E74CA5">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t>Creado mediante la Resolución Ministerial Nº 249-2012-MEM/DM, el RECPO, es la principal fuente oficial del sector para identificar a los agentes que se dedican a la compra, venta y/o refinación de oro, siendo concebido como una medida complementaria y temporal mientras “no se haya implementado un procedimiento de certificación de la calidad ambiental</w:t>
      </w:r>
      <w:r w:rsidR="006A79B6" w:rsidRPr="00990CB0">
        <w:rPr>
          <w:rFonts w:ascii="Arial" w:eastAsia="Yu Mincho" w:hAnsi="Arial" w:cs="Arial"/>
          <w:sz w:val="20"/>
          <w:szCs w:val="20"/>
          <w:lang w:eastAsia="es-PE"/>
        </w:rPr>
        <w:t xml:space="preserve"> y procedencia del oro” (Art. 7 del Decreto Supremo</w:t>
      </w:r>
      <w:r w:rsidRPr="00990CB0">
        <w:rPr>
          <w:rFonts w:ascii="Arial" w:eastAsia="Yu Mincho" w:hAnsi="Arial" w:cs="Arial"/>
          <w:sz w:val="20"/>
          <w:szCs w:val="20"/>
          <w:lang w:eastAsia="es-PE"/>
        </w:rPr>
        <w:t xml:space="preserve"> </w:t>
      </w:r>
      <w:r w:rsidR="006A79B6" w:rsidRPr="00990CB0">
        <w:rPr>
          <w:rFonts w:ascii="Arial" w:eastAsia="Yu Mincho" w:hAnsi="Arial" w:cs="Arial"/>
          <w:sz w:val="20"/>
          <w:szCs w:val="20"/>
          <w:lang w:eastAsia="es-PE"/>
        </w:rPr>
        <w:t xml:space="preserve">N° </w:t>
      </w:r>
      <w:r w:rsidRPr="00990CB0">
        <w:rPr>
          <w:rFonts w:ascii="Arial" w:eastAsia="Yu Mincho" w:hAnsi="Arial" w:cs="Arial"/>
          <w:sz w:val="20"/>
          <w:szCs w:val="20"/>
          <w:lang w:eastAsia="es-PE"/>
        </w:rPr>
        <w:t>012-2012-EM). Para ello, “Activos Mineros S.A.C., los titulares de planta de beneficio y los demás comercializadores deben mantener dicho registro actualizado y, de ser el caso, su respectivo medio de visualización, a disposición de la autoridad que resulte competente en la fiscaliz</w:t>
      </w:r>
      <w:r w:rsidR="0006377D" w:rsidRPr="00990CB0">
        <w:rPr>
          <w:rFonts w:ascii="Arial" w:eastAsia="Yu Mincho" w:hAnsi="Arial" w:cs="Arial"/>
          <w:sz w:val="20"/>
          <w:szCs w:val="20"/>
          <w:lang w:eastAsia="es-PE"/>
        </w:rPr>
        <w:t>ación del comprador” (Art. 5 del Decreto Supremo N°</w:t>
      </w:r>
      <w:r w:rsidRPr="00990CB0">
        <w:rPr>
          <w:rFonts w:ascii="Arial" w:eastAsia="Yu Mincho" w:hAnsi="Arial" w:cs="Arial"/>
          <w:sz w:val="20"/>
          <w:szCs w:val="20"/>
          <w:lang w:eastAsia="es-PE"/>
        </w:rPr>
        <w:t xml:space="preserve"> 012-2012-EM). El REPCO es por tanto una fuente importante para rastrear el movimiento del oro extraído por la </w:t>
      </w:r>
      <w:r w:rsidR="0006377D" w:rsidRPr="00990CB0">
        <w:rPr>
          <w:rFonts w:ascii="Arial" w:eastAsia="Yu Mincho" w:hAnsi="Arial" w:cs="Arial"/>
          <w:sz w:val="20"/>
          <w:szCs w:val="20"/>
          <w:lang w:eastAsia="es-PE"/>
        </w:rPr>
        <w:t>minería en pequeña escala</w:t>
      </w:r>
      <w:r w:rsidRPr="00990CB0">
        <w:rPr>
          <w:rFonts w:ascii="Arial" w:eastAsia="Yu Mincho" w:hAnsi="Arial" w:cs="Arial"/>
          <w:sz w:val="20"/>
          <w:szCs w:val="20"/>
          <w:lang w:eastAsia="es-PE"/>
        </w:rPr>
        <w:t xml:space="preserve"> y su fort</w:t>
      </w:r>
      <w:r w:rsidR="00B14332" w:rsidRPr="00990CB0">
        <w:rPr>
          <w:rFonts w:ascii="Arial" w:eastAsia="Yu Mincho" w:hAnsi="Arial" w:cs="Arial"/>
          <w:sz w:val="20"/>
          <w:szCs w:val="20"/>
          <w:lang w:eastAsia="es-PE"/>
        </w:rPr>
        <w:t>alecimiento puede significar un</w:t>
      </w:r>
      <w:r w:rsidRPr="00990CB0">
        <w:rPr>
          <w:rFonts w:ascii="Arial" w:eastAsia="Yu Mincho" w:hAnsi="Arial" w:cs="Arial"/>
          <w:sz w:val="20"/>
          <w:szCs w:val="20"/>
          <w:lang w:eastAsia="es-PE"/>
        </w:rPr>
        <w:t xml:space="preserve"> paso importante en el objetivo de mejorar la trazabilidad del oro en el Perú. </w:t>
      </w:r>
    </w:p>
    <w:p w14:paraId="44946846" w14:textId="77777777" w:rsidR="00B426EB" w:rsidRPr="00990CB0" w:rsidRDefault="00B426EB" w:rsidP="00E74CA5">
      <w:pPr>
        <w:spacing w:after="0" w:line="240" w:lineRule="auto"/>
        <w:ind w:left="426"/>
        <w:jc w:val="both"/>
        <w:rPr>
          <w:rFonts w:ascii="Arial" w:eastAsia="Calibri" w:hAnsi="Arial" w:cs="Arial"/>
          <w:sz w:val="20"/>
          <w:szCs w:val="20"/>
          <w:lang w:eastAsia="es-PE"/>
        </w:rPr>
      </w:pPr>
    </w:p>
    <w:p w14:paraId="0C711E86" w14:textId="77777777" w:rsidR="00C82A0E" w:rsidRPr="00990CB0" w:rsidRDefault="00010D7D" w:rsidP="00A766CD">
      <w:pPr>
        <w:pStyle w:val="Default"/>
        <w:ind w:left="426"/>
        <w:jc w:val="both"/>
        <w:rPr>
          <w:rFonts w:ascii="Arial" w:eastAsia="Calibri" w:hAnsi="Arial" w:cs="Arial"/>
          <w:color w:val="auto"/>
          <w:sz w:val="20"/>
          <w:szCs w:val="20"/>
          <w:lang w:eastAsia="es-PE"/>
        </w:rPr>
      </w:pPr>
      <w:r w:rsidRPr="00990CB0">
        <w:rPr>
          <w:rFonts w:ascii="Arial" w:eastAsia="Calibri" w:hAnsi="Arial" w:cs="Arial"/>
          <w:color w:val="auto"/>
          <w:sz w:val="20"/>
          <w:szCs w:val="20"/>
          <w:lang w:eastAsia="es-PE"/>
        </w:rPr>
        <w:t>En la actualidad</w:t>
      </w:r>
      <w:r w:rsidR="00034494" w:rsidRPr="00990CB0">
        <w:rPr>
          <w:rFonts w:ascii="Arial" w:eastAsia="Calibri" w:hAnsi="Arial" w:cs="Arial"/>
          <w:color w:val="auto"/>
          <w:sz w:val="20"/>
          <w:szCs w:val="20"/>
          <w:lang w:eastAsia="es-PE"/>
        </w:rPr>
        <w:t xml:space="preserve">, </w:t>
      </w:r>
      <w:r w:rsidR="00C22A69" w:rsidRPr="00990CB0">
        <w:rPr>
          <w:rFonts w:ascii="Arial" w:eastAsia="Calibri" w:hAnsi="Arial" w:cs="Arial"/>
          <w:color w:val="auto"/>
          <w:sz w:val="20"/>
          <w:szCs w:val="20"/>
          <w:lang w:eastAsia="es-PE"/>
        </w:rPr>
        <w:t>e</w:t>
      </w:r>
      <w:r w:rsidR="00566B5A" w:rsidRPr="00990CB0">
        <w:rPr>
          <w:rFonts w:ascii="Arial" w:eastAsia="Calibri" w:hAnsi="Arial" w:cs="Arial"/>
          <w:color w:val="auto"/>
          <w:sz w:val="20"/>
          <w:szCs w:val="20"/>
          <w:lang w:eastAsia="es-PE"/>
        </w:rPr>
        <w:t>l RECPO</w:t>
      </w:r>
      <w:r w:rsidR="00C22A69" w:rsidRPr="00990CB0">
        <w:rPr>
          <w:rFonts w:ascii="Arial" w:eastAsia="Calibri" w:hAnsi="Arial" w:cs="Arial"/>
          <w:color w:val="auto"/>
          <w:sz w:val="20"/>
          <w:szCs w:val="20"/>
          <w:lang w:eastAsia="es-PE"/>
        </w:rPr>
        <w:t xml:space="preserve"> </w:t>
      </w:r>
      <w:r w:rsidR="00654455" w:rsidRPr="00990CB0">
        <w:rPr>
          <w:rFonts w:ascii="Arial" w:eastAsia="Calibri" w:hAnsi="Arial" w:cs="Arial"/>
          <w:color w:val="auto"/>
          <w:sz w:val="20"/>
          <w:szCs w:val="20"/>
          <w:lang w:eastAsia="es-PE"/>
        </w:rPr>
        <w:t xml:space="preserve">no tiene interoperabilidad con otros registros </w:t>
      </w:r>
      <w:r w:rsidR="001F5D4B" w:rsidRPr="00990CB0">
        <w:rPr>
          <w:rFonts w:ascii="Arial" w:eastAsia="Calibri" w:hAnsi="Arial" w:cs="Arial"/>
          <w:color w:val="auto"/>
          <w:sz w:val="20"/>
          <w:szCs w:val="20"/>
          <w:lang w:eastAsia="es-PE"/>
        </w:rPr>
        <w:t xml:space="preserve">administrativos del Estado, </w:t>
      </w:r>
      <w:r w:rsidR="00654455" w:rsidRPr="00990CB0">
        <w:rPr>
          <w:rFonts w:ascii="Arial" w:eastAsia="Calibri" w:hAnsi="Arial" w:cs="Arial"/>
          <w:color w:val="auto"/>
          <w:sz w:val="20"/>
          <w:szCs w:val="20"/>
          <w:lang w:eastAsia="es-PE"/>
        </w:rPr>
        <w:t xml:space="preserve">con la finalidad que </w:t>
      </w:r>
      <w:r w:rsidR="009E2182" w:rsidRPr="00990CB0">
        <w:rPr>
          <w:rFonts w:ascii="Arial" w:eastAsia="Calibri" w:hAnsi="Arial" w:cs="Arial"/>
          <w:color w:val="auto"/>
          <w:sz w:val="20"/>
          <w:szCs w:val="20"/>
          <w:lang w:eastAsia="es-PE"/>
        </w:rPr>
        <w:t>se</w:t>
      </w:r>
      <w:r w:rsidR="00654455" w:rsidRPr="00990CB0">
        <w:rPr>
          <w:rFonts w:ascii="Arial" w:eastAsia="Calibri" w:hAnsi="Arial" w:cs="Arial"/>
          <w:color w:val="auto"/>
          <w:sz w:val="20"/>
          <w:szCs w:val="20"/>
          <w:lang w:eastAsia="es-PE"/>
        </w:rPr>
        <w:t xml:space="preserve"> </w:t>
      </w:r>
      <w:r w:rsidR="009E2182" w:rsidRPr="00990CB0">
        <w:rPr>
          <w:rFonts w:ascii="Arial" w:eastAsia="Calibri" w:hAnsi="Arial" w:cs="Arial"/>
          <w:color w:val="auto"/>
          <w:sz w:val="20"/>
          <w:szCs w:val="20"/>
          <w:lang w:eastAsia="es-PE"/>
        </w:rPr>
        <w:t>pueda</w:t>
      </w:r>
      <w:r w:rsidR="001F5D4B" w:rsidRPr="00990CB0">
        <w:rPr>
          <w:rFonts w:ascii="Arial" w:eastAsia="Calibri" w:hAnsi="Arial" w:cs="Arial"/>
          <w:color w:val="auto"/>
          <w:sz w:val="20"/>
          <w:szCs w:val="20"/>
          <w:lang w:eastAsia="es-PE"/>
        </w:rPr>
        <w:t xml:space="preserve"> </w:t>
      </w:r>
      <w:r w:rsidR="00654455" w:rsidRPr="00990CB0">
        <w:rPr>
          <w:rFonts w:ascii="Arial" w:eastAsia="Calibri" w:hAnsi="Arial" w:cs="Arial"/>
          <w:color w:val="auto"/>
          <w:sz w:val="20"/>
          <w:szCs w:val="20"/>
          <w:lang w:eastAsia="es-PE"/>
        </w:rPr>
        <w:t>cruzar información</w:t>
      </w:r>
      <w:r w:rsidR="003A382B" w:rsidRPr="00990CB0">
        <w:rPr>
          <w:rFonts w:ascii="Arial" w:eastAsia="Calibri" w:hAnsi="Arial" w:cs="Arial"/>
          <w:color w:val="auto"/>
          <w:sz w:val="20"/>
          <w:szCs w:val="20"/>
          <w:lang w:eastAsia="es-PE"/>
        </w:rPr>
        <w:t xml:space="preserve"> </w:t>
      </w:r>
      <w:r w:rsidR="000424A7" w:rsidRPr="00990CB0">
        <w:rPr>
          <w:rFonts w:ascii="Arial" w:eastAsia="Calibri" w:hAnsi="Arial" w:cs="Arial"/>
          <w:color w:val="auto"/>
          <w:sz w:val="20"/>
          <w:szCs w:val="20"/>
          <w:lang w:eastAsia="es-PE"/>
        </w:rPr>
        <w:t xml:space="preserve">respecto de la información </w:t>
      </w:r>
      <w:r w:rsidR="001B59BC" w:rsidRPr="00990CB0">
        <w:rPr>
          <w:rFonts w:ascii="Arial" w:eastAsia="Calibri" w:hAnsi="Arial" w:cs="Arial"/>
          <w:color w:val="auto"/>
          <w:sz w:val="20"/>
          <w:szCs w:val="20"/>
          <w:lang w:eastAsia="es-PE"/>
        </w:rPr>
        <w:t xml:space="preserve">que ellas posean y </w:t>
      </w:r>
      <w:r w:rsidR="000424A7" w:rsidRPr="00990CB0">
        <w:rPr>
          <w:rFonts w:ascii="Arial" w:eastAsia="Calibri" w:hAnsi="Arial" w:cs="Arial"/>
          <w:color w:val="auto"/>
          <w:sz w:val="20"/>
          <w:szCs w:val="20"/>
          <w:lang w:eastAsia="es-PE"/>
        </w:rPr>
        <w:t>ello</w:t>
      </w:r>
      <w:r w:rsidR="00C22A69" w:rsidRPr="00990CB0">
        <w:rPr>
          <w:rFonts w:ascii="Arial" w:eastAsia="Calibri" w:hAnsi="Arial" w:cs="Arial"/>
          <w:color w:val="auto"/>
          <w:sz w:val="20"/>
          <w:szCs w:val="20"/>
          <w:lang w:eastAsia="es-PE"/>
        </w:rPr>
        <w:t xml:space="preserve"> </w:t>
      </w:r>
      <w:r w:rsidR="000424A7" w:rsidRPr="00990CB0">
        <w:rPr>
          <w:rFonts w:ascii="Arial" w:eastAsia="Calibri" w:hAnsi="Arial" w:cs="Arial"/>
          <w:color w:val="auto"/>
          <w:sz w:val="20"/>
          <w:szCs w:val="20"/>
          <w:lang w:eastAsia="es-PE"/>
        </w:rPr>
        <w:t xml:space="preserve">les permita </w:t>
      </w:r>
      <w:r w:rsidR="001B59BC" w:rsidRPr="00990CB0">
        <w:rPr>
          <w:rFonts w:ascii="Arial" w:eastAsia="Calibri" w:hAnsi="Arial" w:cs="Arial"/>
          <w:color w:val="auto"/>
          <w:sz w:val="20"/>
          <w:szCs w:val="20"/>
          <w:lang w:eastAsia="es-PE"/>
        </w:rPr>
        <w:t>desempeñ</w:t>
      </w:r>
      <w:r w:rsidR="000424A7" w:rsidRPr="00990CB0">
        <w:rPr>
          <w:rFonts w:ascii="Arial" w:eastAsia="Calibri" w:hAnsi="Arial" w:cs="Arial"/>
          <w:color w:val="auto"/>
          <w:sz w:val="20"/>
          <w:szCs w:val="20"/>
          <w:lang w:eastAsia="es-PE"/>
        </w:rPr>
        <w:t>ar</w:t>
      </w:r>
      <w:r w:rsidR="001B59BC" w:rsidRPr="00990CB0">
        <w:rPr>
          <w:rFonts w:ascii="Arial" w:eastAsia="Calibri" w:hAnsi="Arial" w:cs="Arial"/>
          <w:color w:val="auto"/>
          <w:sz w:val="20"/>
          <w:szCs w:val="20"/>
          <w:lang w:eastAsia="es-PE"/>
        </w:rPr>
        <w:t xml:space="preserve"> de manera más eficiente sus funciones</w:t>
      </w:r>
      <w:r w:rsidR="003A382B" w:rsidRPr="00990CB0">
        <w:rPr>
          <w:rFonts w:ascii="Arial" w:eastAsia="Calibri" w:hAnsi="Arial" w:cs="Arial"/>
          <w:color w:val="auto"/>
          <w:sz w:val="20"/>
          <w:szCs w:val="20"/>
          <w:lang w:eastAsia="es-PE"/>
        </w:rPr>
        <w:t>.</w:t>
      </w:r>
    </w:p>
    <w:p w14:paraId="6AACAD07" w14:textId="77777777" w:rsidR="00CF014A" w:rsidRPr="00990CB0" w:rsidRDefault="00CF014A" w:rsidP="00E74CA5">
      <w:pPr>
        <w:pStyle w:val="Default"/>
        <w:ind w:left="426"/>
        <w:jc w:val="both"/>
        <w:rPr>
          <w:rFonts w:ascii="Arial" w:hAnsi="Arial" w:cs="Arial"/>
          <w:color w:val="auto"/>
          <w:sz w:val="20"/>
          <w:szCs w:val="20"/>
        </w:rPr>
      </w:pPr>
    </w:p>
    <w:p w14:paraId="7D76E824" w14:textId="77777777" w:rsidR="00ED04AB" w:rsidRPr="00990CB0" w:rsidRDefault="00010D7D" w:rsidP="00ED04AB">
      <w:pPr>
        <w:pStyle w:val="Default"/>
        <w:ind w:left="426"/>
        <w:jc w:val="both"/>
        <w:rPr>
          <w:rFonts w:ascii="Arial" w:hAnsi="Arial" w:cs="Arial"/>
          <w:color w:val="auto"/>
          <w:sz w:val="20"/>
          <w:szCs w:val="20"/>
        </w:rPr>
      </w:pPr>
      <w:r w:rsidRPr="00990CB0">
        <w:rPr>
          <w:rFonts w:ascii="Arial" w:hAnsi="Arial" w:cs="Arial"/>
          <w:color w:val="auto"/>
          <w:sz w:val="20"/>
          <w:szCs w:val="20"/>
        </w:rPr>
        <w:t>El RECPO</w:t>
      </w:r>
      <w:r w:rsidR="00EF7985" w:rsidRPr="00990CB0">
        <w:rPr>
          <w:rFonts w:ascii="Arial" w:hAnsi="Arial" w:cs="Arial"/>
          <w:color w:val="auto"/>
          <w:sz w:val="20"/>
          <w:szCs w:val="20"/>
        </w:rPr>
        <w:t>,</w:t>
      </w:r>
      <w:r w:rsidRPr="00990CB0">
        <w:rPr>
          <w:rFonts w:ascii="Arial" w:hAnsi="Arial" w:cs="Arial"/>
          <w:color w:val="auto"/>
          <w:sz w:val="20"/>
          <w:szCs w:val="20"/>
        </w:rPr>
        <w:t xml:space="preserve"> al </w:t>
      </w:r>
      <w:r w:rsidR="00EF7985" w:rsidRPr="00990CB0">
        <w:rPr>
          <w:rFonts w:ascii="Arial" w:hAnsi="Arial" w:cs="Arial"/>
          <w:color w:val="auto"/>
          <w:sz w:val="20"/>
          <w:szCs w:val="20"/>
        </w:rPr>
        <w:t>12 de marzo de 2021</w:t>
      </w:r>
      <w:r w:rsidRPr="00990CB0">
        <w:rPr>
          <w:rStyle w:val="Refdenotaalpie"/>
          <w:rFonts w:ascii="Arial" w:hAnsi="Arial" w:cs="Arial"/>
          <w:color w:val="auto"/>
          <w:sz w:val="20"/>
          <w:szCs w:val="20"/>
        </w:rPr>
        <w:footnoteReference w:id="4"/>
      </w:r>
      <w:r w:rsidRPr="00990CB0">
        <w:rPr>
          <w:rFonts w:ascii="Arial" w:hAnsi="Arial" w:cs="Arial"/>
          <w:color w:val="auto"/>
          <w:sz w:val="20"/>
          <w:szCs w:val="20"/>
        </w:rPr>
        <w:t xml:space="preserve">, cuenta con </w:t>
      </w:r>
      <w:r w:rsidR="00EF7985" w:rsidRPr="00990CB0">
        <w:rPr>
          <w:rFonts w:ascii="Arial" w:hAnsi="Arial" w:cs="Arial"/>
          <w:b/>
          <w:bCs/>
          <w:color w:val="auto"/>
          <w:sz w:val="20"/>
          <w:szCs w:val="20"/>
        </w:rPr>
        <w:t>9,409 inscripciones</w:t>
      </w:r>
      <w:r w:rsidRPr="00990CB0">
        <w:rPr>
          <w:rFonts w:ascii="Arial" w:hAnsi="Arial" w:cs="Arial"/>
          <w:color w:val="auto"/>
          <w:sz w:val="20"/>
          <w:szCs w:val="20"/>
        </w:rPr>
        <w:t xml:space="preserve">, de las cuales </w:t>
      </w:r>
      <w:r w:rsidR="00655D13" w:rsidRPr="00990CB0">
        <w:rPr>
          <w:rFonts w:ascii="Arial" w:hAnsi="Arial" w:cs="Arial"/>
          <w:color w:val="auto"/>
          <w:sz w:val="20"/>
          <w:szCs w:val="20"/>
        </w:rPr>
        <w:t>se tiene que el 48% (4293 inscripciones) pertenecen a personas jurídicas y el 52% (4641 inscripciones) corresponden a personas naturales</w:t>
      </w:r>
      <w:r w:rsidR="002C2EEF" w:rsidRPr="00990CB0">
        <w:rPr>
          <w:rFonts w:ascii="Arial" w:hAnsi="Arial" w:cs="Arial"/>
          <w:color w:val="auto"/>
          <w:sz w:val="20"/>
          <w:szCs w:val="20"/>
        </w:rPr>
        <w:t xml:space="preserve">; siendo </w:t>
      </w:r>
      <w:r w:rsidR="00A766CD" w:rsidRPr="00990CB0">
        <w:rPr>
          <w:rFonts w:ascii="Arial" w:hAnsi="Arial" w:cs="Arial"/>
          <w:color w:val="auto"/>
          <w:sz w:val="20"/>
          <w:szCs w:val="20"/>
        </w:rPr>
        <w:t xml:space="preserve">Puno, Lima y Arequipa </w:t>
      </w:r>
      <w:r w:rsidR="002C2EEF" w:rsidRPr="00990CB0">
        <w:rPr>
          <w:rFonts w:ascii="Arial" w:hAnsi="Arial" w:cs="Arial"/>
          <w:color w:val="auto"/>
          <w:sz w:val="20"/>
          <w:szCs w:val="20"/>
        </w:rPr>
        <w:t>las regiones que más inscritos</w:t>
      </w:r>
      <w:r w:rsidRPr="00990CB0">
        <w:rPr>
          <w:rFonts w:ascii="Arial" w:hAnsi="Arial" w:cs="Arial"/>
          <w:color w:val="auto"/>
          <w:sz w:val="20"/>
          <w:szCs w:val="20"/>
        </w:rPr>
        <w:t>.</w:t>
      </w:r>
      <w:r w:rsidR="00ED04AB" w:rsidRPr="00990CB0">
        <w:rPr>
          <w:rFonts w:ascii="Arial" w:hAnsi="Arial" w:cs="Arial"/>
          <w:color w:val="auto"/>
          <w:sz w:val="20"/>
          <w:szCs w:val="20"/>
        </w:rPr>
        <w:t xml:space="preserve"> Además, del total de inscripciones registradas en el RECPO se tiene que 8,358 inscripciones (89%) cuentan con información completa</w:t>
      </w:r>
      <w:r w:rsidR="0041599B" w:rsidRPr="00990CB0">
        <w:rPr>
          <w:rFonts w:ascii="Arial" w:hAnsi="Arial" w:cs="Arial"/>
          <w:color w:val="auto"/>
          <w:sz w:val="20"/>
          <w:szCs w:val="20"/>
        </w:rPr>
        <w:t xml:space="preserve"> de acuerdo a sus </w:t>
      </w:r>
      <w:r w:rsidR="003504B3" w:rsidRPr="00990CB0">
        <w:rPr>
          <w:rFonts w:ascii="Arial" w:hAnsi="Arial" w:cs="Arial"/>
          <w:color w:val="auto"/>
          <w:sz w:val="20"/>
          <w:szCs w:val="20"/>
        </w:rPr>
        <w:t>formato</w:t>
      </w:r>
      <w:r w:rsidR="0041599B" w:rsidRPr="00990CB0">
        <w:rPr>
          <w:rFonts w:ascii="Arial" w:hAnsi="Arial" w:cs="Arial"/>
          <w:color w:val="auto"/>
          <w:sz w:val="20"/>
          <w:szCs w:val="20"/>
        </w:rPr>
        <w:t>s</w:t>
      </w:r>
      <w:r w:rsidR="003504B3" w:rsidRPr="00990CB0">
        <w:rPr>
          <w:rFonts w:ascii="Arial" w:hAnsi="Arial" w:cs="Arial"/>
          <w:color w:val="auto"/>
          <w:sz w:val="20"/>
          <w:szCs w:val="20"/>
        </w:rPr>
        <w:t xml:space="preserve"> de registro</w:t>
      </w:r>
      <w:r w:rsidR="00ED04AB" w:rsidRPr="00990CB0">
        <w:rPr>
          <w:rFonts w:ascii="Arial" w:hAnsi="Arial" w:cs="Arial"/>
          <w:color w:val="auto"/>
          <w:sz w:val="20"/>
          <w:szCs w:val="20"/>
        </w:rPr>
        <w:t xml:space="preserve"> y 1,051 (11%) con información incompleta.</w:t>
      </w:r>
    </w:p>
    <w:p w14:paraId="55B49DEB" w14:textId="77777777" w:rsidR="003504B3" w:rsidRPr="00990CB0" w:rsidRDefault="003504B3" w:rsidP="00ED04AB">
      <w:pPr>
        <w:pStyle w:val="Default"/>
        <w:ind w:left="426"/>
        <w:jc w:val="both"/>
        <w:rPr>
          <w:rFonts w:ascii="Arial" w:hAnsi="Arial" w:cs="Arial"/>
          <w:color w:val="auto"/>
          <w:sz w:val="20"/>
          <w:szCs w:val="20"/>
        </w:rPr>
      </w:pPr>
    </w:p>
    <w:p w14:paraId="0D1B2F7E" w14:textId="77777777" w:rsidR="00DA19BC" w:rsidRPr="00990CB0" w:rsidRDefault="00DA19BC" w:rsidP="00ED04AB">
      <w:pPr>
        <w:pStyle w:val="Default"/>
        <w:ind w:left="426"/>
        <w:jc w:val="both"/>
        <w:rPr>
          <w:rFonts w:ascii="Arial" w:hAnsi="Arial" w:cs="Arial"/>
          <w:color w:val="auto"/>
          <w:sz w:val="20"/>
          <w:szCs w:val="20"/>
        </w:rPr>
      </w:pPr>
    </w:p>
    <w:p w14:paraId="66F9B68F" w14:textId="77777777" w:rsidR="00DA19BC" w:rsidRPr="00990CB0" w:rsidRDefault="00DA19BC" w:rsidP="00ED04AB">
      <w:pPr>
        <w:pStyle w:val="Default"/>
        <w:ind w:left="426"/>
        <w:jc w:val="both"/>
        <w:rPr>
          <w:rFonts w:ascii="Arial" w:hAnsi="Arial" w:cs="Arial"/>
          <w:color w:val="auto"/>
          <w:sz w:val="20"/>
          <w:szCs w:val="20"/>
        </w:rPr>
      </w:pPr>
    </w:p>
    <w:p w14:paraId="14DD7839" w14:textId="77777777" w:rsidR="00DA19BC" w:rsidRPr="00990CB0" w:rsidRDefault="00DA19BC" w:rsidP="00ED04AB">
      <w:pPr>
        <w:pStyle w:val="Default"/>
        <w:ind w:left="426"/>
        <w:jc w:val="both"/>
        <w:rPr>
          <w:rFonts w:ascii="Arial" w:hAnsi="Arial" w:cs="Arial"/>
          <w:color w:val="auto"/>
          <w:sz w:val="20"/>
          <w:szCs w:val="20"/>
        </w:rPr>
      </w:pPr>
    </w:p>
    <w:p w14:paraId="0F59E83E" w14:textId="77777777" w:rsidR="00DA19BC" w:rsidRPr="00990CB0" w:rsidRDefault="00DA19BC" w:rsidP="00ED04AB">
      <w:pPr>
        <w:pStyle w:val="Default"/>
        <w:ind w:left="426"/>
        <w:jc w:val="both"/>
        <w:rPr>
          <w:rFonts w:ascii="Arial" w:hAnsi="Arial" w:cs="Arial"/>
          <w:color w:val="auto"/>
          <w:sz w:val="20"/>
          <w:szCs w:val="20"/>
        </w:rPr>
      </w:pPr>
    </w:p>
    <w:p w14:paraId="072F5B95" w14:textId="77777777" w:rsidR="00DA19BC" w:rsidRPr="00990CB0" w:rsidRDefault="00DA19BC" w:rsidP="00ED04AB">
      <w:pPr>
        <w:pStyle w:val="Default"/>
        <w:ind w:left="426"/>
        <w:jc w:val="both"/>
        <w:rPr>
          <w:rFonts w:ascii="Arial" w:hAnsi="Arial" w:cs="Arial"/>
          <w:color w:val="auto"/>
          <w:sz w:val="20"/>
          <w:szCs w:val="20"/>
        </w:rPr>
      </w:pPr>
    </w:p>
    <w:p w14:paraId="3ED91A6D" w14:textId="77777777" w:rsidR="00DA19BC" w:rsidRPr="00990CB0" w:rsidRDefault="00DA19BC" w:rsidP="00ED04AB">
      <w:pPr>
        <w:pStyle w:val="Default"/>
        <w:ind w:left="426"/>
        <w:jc w:val="both"/>
        <w:rPr>
          <w:rFonts w:ascii="Arial" w:hAnsi="Arial" w:cs="Arial"/>
          <w:color w:val="auto"/>
          <w:sz w:val="20"/>
          <w:szCs w:val="20"/>
        </w:rPr>
      </w:pPr>
    </w:p>
    <w:p w14:paraId="29D7A363" w14:textId="77777777" w:rsidR="003504B3" w:rsidRPr="00990CB0" w:rsidRDefault="003504B3" w:rsidP="00ED04AB">
      <w:pPr>
        <w:pStyle w:val="Default"/>
        <w:ind w:left="426"/>
        <w:jc w:val="both"/>
        <w:rPr>
          <w:rFonts w:ascii="Arial" w:hAnsi="Arial" w:cs="Arial"/>
          <w:color w:val="auto"/>
          <w:sz w:val="20"/>
          <w:szCs w:val="20"/>
        </w:rPr>
      </w:pPr>
      <w:r w:rsidRPr="00990CB0">
        <w:rPr>
          <w:noProof/>
          <w:color w:val="auto"/>
          <w:lang w:eastAsia="es-PE"/>
        </w:rPr>
        <w:lastRenderedPageBreak/>
        <w:drawing>
          <wp:anchor distT="0" distB="0" distL="114300" distR="114300" simplePos="0" relativeHeight="251662336" behindDoc="0" locked="0" layoutInCell="1" allowOverlap="1" wp14:anchorId="3B3B20EA" wp14:editId="666A8513">
            <wp:simplePos x="0" y="0"/>
            <wp:positionH relativeFrom="column">
              <wp:posOffset>3260090</wp:posOffset>
            </wp:positionH>
            <wp:positionV relativeFrom="paragraph">
              <wp:posOffset>5080</wp:posOffset>
            </wp:positionV>
            <wp:extent cx="1804670" cy="172021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670" cy="1720215"/>
                    </a:xfrm>
                    <a:prstGeom prst="rect">
                      <a:avLst/>
                    </a:prstGeom>
                  </pic:spPr>
                </pic:pic>
              </a:graphicData>
            </a:graphic>
            <wp14:sizeRelH relativeFrom="page">
              <wp14:pctWidth>0</wp14:pctWidth>
            </wp14:sizeRelH>
            <wp14:sizeRelV relativeFrom="page">
              <wp14:pctHeight>0</wp14:pctHeight>
            </wp14:sizeRelV>
          </wp:anchor>
        </w:drawing>
      </w:r>
      <w:r w:rsidRPr="00990CB0">
        <w:rPr>
          <w:noProof/>
          <w:color w:val="auto"/>
          <w:lang w:eastAsia="es-PE"/>
        </w:rPr>
        <w:drawing>
          <wp:anchor distT="0" distB="0" distL="114300" distR="114300" simplePos="0" relativeHeight="251661312" behindDoc="0" locked="0" layoutInCell="1" allowOverlap="1" wp14:anchorId="1F802277" wp14:editId="11B6ECAD">
            <wp:simplePos x="0" y="0"/>
            <wp:positionH relativeFrom="column">
              <wp:posOffset>325755</wp:posOffset>
            </wp:positionH>
            <wp:positionV relativeFrom="paragraph">
              <wp:posOffset>64770</wp:posOffset>
            </wp:positionV>
            <wp:extent cx="2181225" cy="176022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1981" t="20313" r="25568" b="47460"/>
                    <a:stretch/>
                  </pic:blipFill>
                  <pic:spPr bwMode="auto">
                    <a:xfrm>
                      <a:off x="0" y="0"/>
                      <a:ext cx="2181225" cy="176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A3D3FF" w14:textId="77777777" w:rsidR="00655D13" w:rsidRPr="00990CB0" w:rsidRDefault="00655D13" w:rsidP="00E74CA5">
      <w:pPr>
        <w:pStyle w:val="Default"/>
        <w:ind w:left="426"/>
        <w:jc w:val="both"/>
        <w:rPr>
          <w:rFonts w:ascii="Arial" w:hAnsi="Arial" w:cs="Arial"/>
          <w:color w:val="auto"/>
          <w:sz w:val="20"/>
          <w:szCs w:val="20"/>
        </w:rPr>
      </w:pPr>
    </w:p>
    <w:p w14:paraId="3808BEF8" w14:textId="77777777" w:rsidR="003504B3" w:rsidRPr="00990CB0" w:rsidRDefault="00010D7D" w:rsidP="00E74CA5">
      <w:pPr>
        <w:pStyle w:val="Default"/>
        <w:ind w:left="426"/>
        <w:jc w:val="both"/>
        <w:rPr>
          <w:rFonts w:ascii="Arial" w:hAnsi="Arial" w:cs="Arial"/>
          <w:color w:val="auto"/>
          <w:sz w:val="20"/>
          <w:szCs w:val="20"/>
        </w:rPr>
      </w:pPr>
      <w:r w:rsidRPr="00990CB0">
        <w:rPr>
          <w:rFonts w:ascii="Arial" w:hAnsi="Arial" w:cs="Arial"/>
          <w:color w:val="auto"/>
          <w:sz w:val="20"/>
          <w:szCs w:val="20"/>
        </w:rPr>
        <w:t xml:space="preserve"> </w:t>
      </w:r>
    </w:p>
    <w:p w14:paraId="4293080F" w14:textId="77777777" w:rsidR="003504B3" w:rsidRPr="00990CB0" w:rsidRDefault="003504B3" w:rsidP="00E74CA5">
      <w:pPr>
        <w:pStyle w:val="Default"/>
        <w:ind w:left="426"/>
        <w:jc w:val="both"/>
        <w:rPr>
          <w:rFonts w:ascii="Arial" w:hAnsi="Arial" w:cs="Arial"/>
          <w:color w:val="auto"/>
          <w:sz w:val="20"/>
          <w:szCs w:val="20"/>
        </w:rPr>
      </w:pPr>
    </w:p>
    <w:p w14:paraId="1DA90ABB" w14:textId="77777777" w:rsidR="003504B3" w:rsidRPr="00990CB0" w:rsidRDefault="003504B3" w:rsidP="00E74CA5">
      <w:pPr>
        <w:pStyle w:val="Default"/>
        <w:ind w:left="426"/>
        <w:jc w:val="both"/>
        <w:rPr>
          <w:rFonts w:ascii="Arial" w:hAnsi="Arial" w:cs="Arial"/>
          <w:color w:val="auto"/>
          <w:sz w:val="20"/>
          <w:szCs w:val="20"/>
        </w:rPr>
      </w:pPr>
    </w:p>
    <w:p w14:paraId="790D7542" w14:textId="77777777" w:rsidR="003504B3" w:rsidRPr="00990CB0" w:rsidRDefault="003504B3" w:rsidP="00E74CA5">
      <w:pPr>
        <w:pStyle w:val="Default"/>
        <w:ind w:left="426"/>
        <w:jc w:val="both"/>
        <w:rPr>
          <w:rFonts w:ascii="Arial" w:hAnsi="Arial" w:cs="Arial"/>
          <w:color w:val="auto"/>
          <w:sz w:val="20"/>
          <w:szCs w:val="20"/>
        </w:rPr>
      </w:pPr>
    </w:p>
    <w:p w14:paraId="14585034" w14:textId="77777777" w:rsidR="003504B3" w:rsidRPr="00990CB0" w:rsidRDefault="003504B3" w:rsidP="00E74CA5">
      <w:pPr>
        <w:pStyle w:val="Default"/>
        <w:ind w:left="426"/>
        <w:jc w:val="both"/>
        <w:rPr>
          <w:rFonts w:ascii="Arial" w:hAnsi="Arial" w:cs="Arial"/>
          <w:color w:val="auto"/>
          <w:sz w:val="20"/>
          <w:szCs w:val="20"/>
        </w:rPr>
      </w:pPr>
    </w:p>
    <w:p w14:paraId="1B098BAC" w14:textId="77777777" w:rsidR="003504B3" w:rsidRPr="00990CB0" w:rsidRDefault="003504B3" w:rsidP="00E74CA5">
      <w:pPr>
        <w:pStyle w:val="Default"/>
        <w:ind w:left="426"/>
        <w:jc w:val="both"/>
        <w:rPr>
          <w:rFonts w:ascii="Arial" w:hAnsi="Arial" w:cs="Arial"/>
          <w:color w:val="auto"/>
          <w:sz w:val="20"/>
          <w:szCs w:val="20"/>
        </w:rPr>
      </w:pPr>
    </w:p>
    <w:p w14:paraId="5840027A" w14:textId="77777777" w:rsidR="003504B3" w:rsidRPr="00990CB0" w:rsidRDefault="003504B3" w:rsidP="00E74CA5">
      <w:pPr>
        <w:pStyle w:val="Default"/>
        <w:ind w:left="426"/>
        <w:jc w:val="both"/>
        <w:rPr>
          <w:rFonts w:ascii="Arial" w:hAnsi="Arial" w:cs="Arial"/>
          <w:color w:val="auto"/>
          <w:sz w:val="20"/>
          <w:szCs w:val="20"/>
        </w:rPr>
      </w:pPr>
    </w:p>
    <w:p w14:paraId="2AABD69E" w14:textId="77777777" w:rsidR="003504B3" w:rsidRPr="00990CB0" w:rsidRDefault="003504B3" w:rsidP="00E74CA5">
      <w:pPr>
        <w:pStyle w:val="Default"/>
        <w:ind w:left="426"/>
        <w:jc w:val="both"/>
        <w:rPr>
          <w:rFonts w:ascii="Arial" w:hAnsi="Arial" w:cs="Arial"/>
          <w:color w:val="auto"/>
          <w:sz w:val="20"/>
          <w:szCs w:val="20"/>
        </w:rPr>
      </w:pPr>
    </w:p>
    <w:p w14:paraId="1D552C24" w14:textId="77777777" w:rsidR="003504B3" w:rsidRPr="00990CB0" w:rsidRDefault="003504B3" w:rsidP="00E74CA5">
      <w:pPr>
        <w:pStyle w:val="Default"/>
        <w:ind w:left="426"/>
        <w:jc w:val="both"/>
        <w:rPr>
          <w:rFonts w:ascii="Arial" w:hAnsi="Arial" w:cs="Arial"/>
          <w:color w:val="auto"/>
          <w:sz w:val="20"/>
          <w:szCs w:val="20"/>
        </w:rPr>
      </w:pPr>
    </w:p>
    <w:p w14:paraId="678B1227" w14:textId="77777777" w:rsidR="003504B3" w:rsidRPr="00990CB0" w:rsidRDefault="003504B3" w:rsidP="00E74CA5">
      <w:pPr>
        <w:pStyle w:val="Default"/>
        <w:ind w:left="426"/>
        <w:jc w:val="both"/>
        <w:rPr>
          <w:rFonts w:ascii="Arial" w:hAnsi="Arial" w:cs="Arial"/>
          <w:color w:val="auto"/>
          <w:sz w:val="20"/>
          <w:szCs w:val="20"/>
        </w:rPr>
      </w:pPr>
    </w:p>
    <w:p w14:paraId="5D446165" w14:textId="77777777" w:rsidR="003504B3" w:rsidRPr="00990CB0" w:rsidRDefault="003504B3" w:rsidP="00E74CA5">
      <w:pPr>
        <w:pStyle w:val="Default"/>
        <w:ind w:left="426"/>
        <w:jc w:val="both"/>
        <w:rPr>
          <w:rFonts w:ascii="Arial" w:hAnsi="Arial" w:cs="Arial"/>
          <w:color w:val="auto"/>
          <w:sz w:val="20"/>
          <w:szCs w:val="20"/>
        </w:rPr>
      </w:pPr>
    </w:p>
    <w:p w14:paraId="235949DE" w14:textId="77777777" w:rsidR="003504B3" w:rsidRPr="00990CB0" w:rsidRDefault="003504B3" w:rsidP="003504B3">
      <w:pPr>
        <w:pStyle w:val="Default"/>
        <w:ind w:left="426"/>
        <w:jc w:val="center"/>
        <w:rPr>
          <w:rFonts w:ascii="Arial" w:hAnsi="Arial" w:cs="Arial"/>
          <w:color w:val="auto"/>
          <w:sz w:val="16"/>
          <w:szCs w:val="16"/>
        </w:rPr>
      </w:pPr>
      <w:r w:rsidRPr="00990CB0">
        <w:rPr>
          <w:rFonts w:ascii="Arial" w:hAnsi="Arial" w:cs="Arial"/>
          <w:color w:val="auto"/>
          <w:sz w:val="16"/>
          <w:szCs w:val="16"/>
        </w:rPr>
        <w:t>Fuente: Dirección General de Formalización Minera</w:t>
      </w:r>
    </w:p>
    <w:p w14:paraId="33738BE3" w14:textId="77777777" w:rsidR="002C2EEF" w:rsidRPr="00990CB0" w:rsidRDefault="002C2EEF" w:rsidP="00E74CA5">
      <w:pPr>
        <w:pStyle w:val="Default"/>
        <w:ind w:left="426"/>
        <w:jc w:val="both"/>
        <w:rPr>
          <w:rFonts w:ascii="Arial" w:hAnsi="Arial" w:cs="Arial"/>
          <w:color w:val="auto"/>
          <w:sz w:val="20"/>
          <w:szCs w:val="20"/>
        </w:rPr>
      </w:pPr>
    </w:p>
    <w:p w14:paraId="72CA4CD1" w14:textId="77777777" w:rsidR="002C2EEF" w:rsidRPr="00990CB0" w:rsidRDefault="00A766CD" w:rsidP="00E74CA5">
      <w:pPr>
        <w:pStyle w:val="Default"/>
        <w:ind w:left="426"/>
        <w:jc w:val="both"/>
        <w:rPr>
          <w:rFonts w:ascii="Arial" w:hAnsi="Arial" w:cs="Arial"/>
          <w:b/>
          <w:bCs/>
          <w:color w:val="auto"/>
          <w:sz w:val="20"/>
          <w:szCs w:val="20"/>
        </w:rPr>
      </w:pPr>
      <w:r w:rsidRPr="00990CB0">
        <w:rPr>
          <w:rFonts w:ascii="Arial" w:hAnsi="Arial" w:cs="Arial"/>
          <w:color w:val="auto"/>
          <w:sz w:val="20"/>
          <w:szCs w:val="20"/>
        </w:rPr>
        <w:t xml:space="preserve">Por otro lado, </w:t>
      </w:r>
      <w:r w:rsidR="00933DB8" w:rsidRPr="00990CB0">
        <w:rPr>
          <w:rFonts w:ascii="Arial" w:hAnsi="Arial" w:cs="Arial"/>
          <w:color w:val="auto"/>
          <w:sz w:val="20"/>
          <w:szCs w:val="20"/>
        </w:rPr>
        <w:t xml:space="preserve">las </w:t>
      </w:r>
      <w:r w:rsidR="00933DB8" w:rsidRPr="00990CB0">
        <w:rPr>
          <w:rFonts w:ascii="Arial" w:hAnsi="Arial" w:cs="Arial"/>
          <w:bCs/>
          <w:color w:val="auto"/>
          <w:sz w:val="20"/>
          <w:szCs w:val="20"/>
        </w:rPr>
        <w:t>9,409 inscripciones en el RECPO se encuentran distribuidas por tipo de actividad de la siguiente forma:</w:t>
      </w:r>
    </w:p>
    <w:p w14:paraId="55F1E775" w14:textId="77777777" w:rsidR="00933DB8" w:rsidRPr="00990CB0" w:rsidRDefault="00933DB8" w:rsidP="00E74CA5">
      <w:pPr>
        <w:pStyle w:val="Default"/>
        <w:ind w:left="426"/>
        <w:jc w:val="both"/>
        <w:rPr>
          <w:rFonts w:ascii="Arial" w:hAnsi="Arial" w:cs="Arial"/>
          <w:b/>
          <w:bCs/>
          <w:color w:val="auto"/>
          <w:sz w:val="20"/>
          <w:szCs w:val="20"/>
        </w:rPr>
      </w:pPr>
    </w:p>
    <w:p w14:paraId="3C496552" w14:textId="77777777" w:rsidR="00933DB8" w:rsidRPr="00990CB0" w:rsidRDefault="00933DB8" w:rsidP="00E74CA5">
      <w:pPr>
        <w:pStyle w:val="Default"/>
        <w:ind w:left="426"/>
        <w:jc w:val="both"/>
        <w:rPr>
          <w:rFonts w:ascii="Arial" w:hAnsi="Arial" w:cs="Arial"/>
          <w:color w:val="auto"/>
          <w:sz w:val="20"/>
          <w:szCs w:val="20"/>
        </w:rPr>
      </w:pPr>
      <w:r w:rsidRPr="00990CB0">
        <w:rPr>
          <w:noProof/>
          <w:color w:val="auto"/>
          <w:lang w:eastAsia="es-PE"/>
        </w:rPr>
        <w:drawing>
          <wp:anchor distT="0" distB="0" distL="114300" distR="114300" simplePos="0" relativeHeight="251663360" behindDoc="0" locked="0" layoutInCell="1" allowOverlap="1" wp14:anchorId="31A25A3A" wp14:editId="3C6C3172">
            <wp:simplePos x="0" y="0"/>
            <wp:positionH relativeFrom="column">
              <wp:posOffset>789305</wp:posOffset>
            </wp:positionH>
            <wp:positionV relativeFrom="paragraph">
              <wp:posOffset>10795</wp:posOffset>
            </wp:positionV>
            <wp:extent cx="2333625" cy="162623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2375" t="20663" r="6669" b="28554"/>
                    <a:stretch/>
                  </pic:blipFill>
                  <pic:spPr bwMode="auto">
                    <a:xfrm>
                      <a:off x="0" y="0"/>
                      <a:ext cx="2333625" cy="162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C0D141" w14:textId="77777777" w:rsidR="003504B3" w:rsidRPr="00990CB0" w:rsidRDefault="003504B3" w:rsidP="00E74CA5">
      <w:pPr>
        <w:pStyle w:val="Default"/>
        <w:ind w:left="426"/>
        <w:jc w:val="both"/>
        <w:rPr>
          <w:rFonts w:ascii="Arial" w:hAnsi="Arial" w:cs="Arial"/>
          <w:color w:val="auto"/>
          <w:sz w:val="20"/>
          <w:szCs w:val="20"/>
        </w:rPr>
      </w:pPr>
    </w:p>
    <w:p w14:paraId="0E289BFC" w14:textId="77777777" w:rsidR="003504B3" w:rsidRPr="00990CB0" w:rsidRDefault="003504B3" w:rsidP="00E74CA5">
      <w:pPr>
        <w:pStyle w:val="Default"/>
        <w:ind w:left="426"/>
        <w:jc w:val="both"/>
        <w:rPr>
          <w:rFonts w:ascii="Arial" w:hAnsi="Arial" w:cs="Arial"/>
          <w:color w:val="auto"/>
          <w:sz w:val="16"/>
          <w:szCs w:val="16"/>
        </w:rPr>
      </w:pPr>
    </w:p>
    <w:p w14:paraId="46F4BF34" w14:textId="77777777" w:rsidR="006A79B6" w:rsidRPr="00990CB0" w:rsidRDefault="006A79B6" w:rsidP="00E74CA5">
      <w:pPr>
        <w:pStyle w:val="Default"/>
        <w:ind w:left="426"/>
        <w:jc w:val="both"/>
        <w:rPr>
          <w:rFonts w:ascii="Arial" w:hAnsi="Arial" w:cs="Arial"/>
          <w:color w:val="auto"/>
          <w:sz w:val="16"/>
          <w:szCs w:val="16"/>
        </w:rPr>
      </w:pPr>
    </w:p>
    <w:p w14:paraId="3658119F" w14:textId="77777777" w:rsidR="006A79B6" w:rsidRPr="00990CB0" w:rsidRDefault="006A79B6" w:rsidP="00E74CA5">
      <w:pPr>
        <w:pStyle w:val="Default"/>
        <w:ind w:left="426"/>
        <w:jc w:val="both"/>
        <w:rPr>
          <w:rFonts w:ascii="Arial" w:hAnsi="Arial" w:cs="Arial"/>
          <w:color w:val="auto"/>
          <w:sz w:val="16"/>
          <w:szCs w:val="16"/>
        </w:rPr>
      </w:pPr>
    </w:p>
    <w:p w14:paraId="6BA8D188" w14:textId="77777777" w:rsidR="006A79B6" w:rsidRPr="00990CB0" w:rsidRDefault="006A79B6" w:rsidP="00E74CA5">
      <w:pPr>
        <w:pStyle w:val="Default"/>
        <w:ind w:left="426"/>
        <w:jc w:val="both"/>
        <w:rPr>
          <w:rFonts w:ascii="Arial" w:hAnsi="Arial" w:cs="Arial"/>
          <w:color w:val="auto"/>
          <w:sz w:val="16"/>
          <w:szCs w:val="16"/>
        </w:rPr>
      </w:pPr>
    </w:p>
    <w:p w14:paraId="467B4744" w14:textId="77777777" w:rsidR="006A79B6" w:rsidRPr="00990CB0" w:rsidRDefault="006A79B6" w:rsidP="00E74CA5">
      <w:pPr>
        <w:pStyle w:val="Default"/>
        <w:ind w:left="426"/>
        <w:jc w:val="both"/>
        <w:rPr>
          <w:rFonts w:ascii="Arial" w:hAnsi="Arial" w:cs="Arial"/>
          <w:color w:val="auto"/>
          <w:sz w:val="16"/>
          <w:szCs w:val="16"/>
        </w:rPr>
      </w:pPr>
    </w:p>
    <w:p w14:paraId="0269D519" w14:textId="77777777" w:rsidR="006A79B6" w:rsidRPr="00990CB0" w:rsidRDefault="006A79B6" w:rsidP="00E74CA5">
      <w:pPr>
        <w:pStyle w:val="Default"/>
        <w:ind w:left="426"/>
        <w:jc w:val="both"/>
        <w:rPr>
          <w:rFonts w:ascii="Arial" w:hAnsi="Arial" w:cs="Arial"/>
          <w:color w:val="auto"/>
          <w:sz w:val="16"/>
          <w:szCs w:val="16"/>
        </w:rPr>
      </w:pPr>
    </w:p>
    <w:p w14:paraId="3120C7F2" w14:textId="77777777" w:rsidR="006A79B6" w:rsidRPr="00990CB0" w:rsidRDefault="006A79B6" w:rsidP="00E74CA5">
      <w:pPr>
        <w:pStyle w:val="Default"/>
        <w:ind w:left="426"/>
        <w:jc w:val="both"/>
        <w:rPr>
          <w:rFonts w:ascii="Arial" w:hAnsi="Arial" w:cs="Arial"/>
          <w:color w:val="auto"/>
          <w:sz w:val="16"/>
          <w:szCs w:val="16"/>
        </w:rPr>
      </w:pPr>
    </w:p>
    <w:p w14:paraId="51A35AAB" w14:textId="77777777" w:rsidR="006A79B6" w:rsidRPr="00990CB0" w:rsidRDefault="006A79B6" w:rsidP="00E74CA5">
      <w:pPr>
        <w:pStyle w:val="Default"/>
        <w:ind w:left="426"/>
        <w:jc w:val="both"/>
        <w:rPr>
          <w:rFonts w:ascii="Arial" w:hAnsi="Arial" w:cs="Arial"/>
          <w:color w:val="auto"/>
          <w:sz w:val="16"/>
          <w:szCs w:val="16"/>
        </w:rPr>
      </w:pPr>
    </w:p>
    <w:p w14:paraId="02DA351B" w14:textId="77777777" w:rsidR="006A79B6" w:rsidRPr="00990CB0" w:rsidRDefault="006A79B6" w:rsidP="00E74CA5">
      <w:pPr>
        <w:pStyle w:val="Default"/>
        <w:ind w:left="426"/>
        <w:jc w:val="both"/>
        <w:rPr>
          <w:rFonts w:ascii="Arial" w:hAnsi="Arial" w:cs="Arial"/>
          <w:color w:val="auto"/>
          <w:sz w:val="16"/>
          <w:szCs w:val="16"/>
        </w:rPr>
      </w:pPr>
    </w:p>
    <w:p w14:paraId="0833FE44" w14:textId="77777777" w:rsidR="00DA19BC" w:rsidRPr="00990CB0" w:rsidRDefault="00DA19BC" w:rsidP="00E74CA5">
      <w:pPr>
        <w:pStyle w:val="Default"/>
        <w:ind w:left="426"/>
        <w:jc w:val="both"/>
        <w:rPr>
          <w:rFonts w:ascii="Arial" w:hAnsi="Arial" w:cs="Arial"/>
          <w:color w:val="auto"/>
          <w:sz w:val="16"/>
          <w:szCs w:val="16"/>
        </w:rPr>
      </w:pPr>
    </w:p>
    <w:p w14:paraId="4DAE25AF" w14:textId="77777777" w:rsidR="00DA19BC" w:rsidRPr="00990CB0" w:rsidRDefault="00DA19BC" w:rsidP="00E74CA5">
      <w:pPr>
        <w:pStyle w:val="Default"/>
        <w:ind w:left="426"/>
        <w:jc w:val="both"/>
        <w:rPr>
          <w:rFonts w:ascii="Arial" w:hAnsi="Arial" w:cs="Arial"/>
          <w:color w:val="auto"/>
          <w:sz w:val="16"/>
          <w:szCs w:val="16"/>
        </w:rPr>
      </w:pPr>
    </w:p>
    <w:p w14:paraId="2CE89723" w14:textId="77777777" w:rsidR="00DA19BC" w:rsidRPr="00990CB0" w:rsidRDefault="00DA19BC" w:rsidP="00E74CA5">
      <w:pPr>
        <w:pStyle w:val="Default"/>
        <w:ind w:left="426"/>
        <w:jc w:val="both"/>
        <w:rPr>
          <w:rFonts w:ascii="Arial" w:hAnsi="Arial" w:cs="Arial"/>
          <w:color w:val="auto"/>
          <w:sz w:val="16"/>
          <w:szCs w:val="16"/>
        </w:rPr>
      </w:pPr>
    </w:p>
    <w:p w14:paraId="71FAEBD5" w14:textId="453817D4" w:rsidR="006A79B6" w:rsidRPr="00990CB0" w:rsidRDefault="00287F58" w:rsidP="00287F58">
      <w:pPr>
        <w:pStyle w:val="Default"/>
        <w:ind w:left="1416"/>
        <w:rPr>
          <w:rFonts w:ascii="Arial" w:hAnsi="Arial" w:cs="Arial"/>
          <w:color w:val="auto"/>
          <w:sz w:val="16"/>
          <w:szCs w:val="16"/>
        </w:rPr>
      </w:pPr>
      <w:r w:rsidRPr="00990CB0">
        <w:rPr>
          <w:rFonts w:ascii="Arial" w:hAnsi="Arial" w:cs="Arial"/>
          <w:color w:val="auto"/>
          <w:sz w:val="16"/>
          <w:szCs w:val="16"/>
        </w:rPr>
        <w:t xml:space="preserve">                       </w:t>
      </w:r>
      <w:r w:rsidR="006A79B6" w:rsidRPr="00990CB0">
        <w:rPr>
          <w:rFonts w:ascii="Arial" w:hAnsi="Arial" w:cs="Arial"/>
          <w:color w:val="auto"/>
          <w:sz w:val="16"/>
          <w:szCs w:val="16"/>
        </w:rPr>
        <w:t>Fuente: Dirección General de Formalización Minera</w:t>
      </w:r>
    </w:p>
    <w:p w14:paraId="42364D94" w14:textId="77777777" w:rsidR="00933DB8" w:rsidRPr="00990CB0" w:rsidRDefault="00933DB8" w:rsidP="00E74CA5">
      <w:pPr>
        <w:pStyle w:val="Default"/>
        <w:ind w:left="426"/>
        <w:jc w:val="both"/>
        <w:rPr>
          <w:rFonts w:ascii="Arial" w:hAnsi="Arial" w:cs="Arial"/>
          <w:color w:val="auto"/>
          <w:sz w:val="20"/>
          <w:szCs w:val="20"/>
        </w:rPr>
      </w:pPr>
    </w:p>
    <w:p w14:paraId="384B02B4" w14:textId="65B464FF" w:rsidR="00933DB8" w:rsidRPr="00990CB0" w:rsidRDefault="0041599B" w:rsidP="00E74CA5">
      <w:pPr>
        <w:pStyle w:val="Default"/>
        <w:ind w:left="426"/>
        <w:jc w:val="both"/>
        <w:rPr>
          <w:rFonts w:ascii="Arial" w:hAnsi="Arial" w:cs="Arial"/>
          <w:color w:val="auto"/>
          <w:sz w:val="20"/>
          <w:szCs w:val="20"/>
        </w:rPr>
      </w:pPr>
      <w:r w:rsidRPr="00990CB0">
        <w:rPr>
          <w:rFonts w:ascii="Arial" w:hAnsi="Arial" w:cs="Arial"/>
          <w:color w:val="auto"/>
          <w:sz w:val="20"/>
          <w:szCs w:val="20"/>
        </w:rPr>
        <w:t xml:space="preserve">Según se puede apreciar muchas de las inscripciones en el RECPO presentan información incompleta, llenada en blanco o no registrada, </w:t>
      </w:r>
      <w:r w:rsidR="00287F58" w:rsidRPr="00990CB0">
        <w:rPr>
          <w:rFonts w:ascii="Arial" w:hAnsi="Arial" w:cs="Arial"/>
          <w:color w:val="auto"/>
          <w:sz w:val="20"/>
          <w:szCs w:val="20"/>
        </w:rPr>
        <w:t>a pesar que,</w:t>
      </w:r>
      <w:r w:rsidRPr="00990CB0">
        <w:rPr>
          <w:rFonts w:ascii="Arial" w:hAnsi="Arial" w:cs="Arial"/>
          <w:color w:val="auto"/>
          <w:sz w:val="20"/>
          <w:szCs w:val="20"/>
        </w:rPr>
        <w:t xml:space="preserve"> el formato de inscripción establecido por Resolución Ministerial Nº 249-2012-MEM/DM solo contiene datos del solicitante</w:t>
      </w:r>
      <w:r w:rsidR="00287F58" w:rsidRPr="00990CB0">
        <w:rPr>
          <w:rFonts w:ascii="Arial" w:hAnsi="Arial" w:cs="Arial"/>
          <w:color w:val="auto"/>
          <w:sz w:val="20"/>
          <w:szCs w:val="20"/>
        </w:rPr>
        <w:t xml:space="preserve">; esto se debe en gran parte, a que la inscripción en el RECPO actualmente, se realiza de manera física a través del llenado manual de un formato, generando así, demora en la atención de solicitudes a los administrados y propiciando, además, el incremento de la carga administrativa de quienes deben sistematizar dicha información al sistema que luego se consolida en un listado que es publicado y actualizado diariamente en la página del Ministerio de Energía y Minas. </w:t>
      </w:r>
      <w:r w:rsidRPr="00990CB0">
        <w:rPr>
          <w:rFonts w:ascii="Arial" w:hAnsi="Arial" w:cs="Arial"/>
          <w:color w:val="auto"/>
          <w:sz w:val="20"/>
          <w:szCs w:val="20"/>
        </w:rPr>
        <w:t xml:space="preserve">Además, el mencionado formato no establece ninguna exigencia adicional para inscribirse en el </w:t>
      </w:r>
      <w:r w:rsidR="000C2A12" w:rsidRPr="00990CB0">
        <w:rPr>
          <w:rFonts w:ascii="Arial" w:hAnsi="Arial" w:cs="Arial"/>
          <w:color w:val="auto"/>
          <w:sz w:val="20"/>
          <w:szCs w:val="20"/>
        </w:rPr>
        <w:t xml:space="preserve">RECPO, tampoco contempla un reporte de operaciones de compra o venta o la ubicación de los establecimientos/personas que se </w:t>
      </w:r>
      <w:r w:rsidR="00287F58" w:rsidRPr="00990CB0">
        <w:rPr>
          <w:rFonts w:ascii="Arial" w:hAnsi="Arial" w:cs="Arial"/>
          <w:color w:val="auto"/>
          <w:sz w:val="20"/>
          <w:szCs w:val="20"/>
        </w:rPr>
        <w:t>registran.</w:t>
      </w:r>
    </w:p>
    <w:p w14:paraId="30B3885C" w14:textId="77777777" w:rsidR="00933DB8" w:rsidRPr="00990CB0" w:rsidRDefault="00933DB8" w:rsidP="00E74CA5">
      <w:pPr>
        <w:pStyle w:val="Default"/>
        <w:ind w:left="426"/>
        <w:jc w:val="both"/>
        <w:rPr>
          <w:rFonts w:ascii="Arial" w:hAnsi="Arial" w:cs="Arial"/>
          <w:color w:val="auto"/>
          <w:sz w:val="20"/>
          <w:szCs w:val="20"/>
        </w:rPr>
      </w:pPr>
    </w:p>
    <w:p w14:paraId="72830A82" w14:textId="21193D0D" w:rsidR="000F249F" w:rsidRPr="00990CB0" w:rsidRDefault="00467681" w:rsidP="006154FE">
      <w:pPr>
        <w:pStyle w:val="Default"/>
        <w:ind w:left="426"/>
        <w:jc w:val="both"/>
        <w:rPr>
          <w:rFonts w:ascii="Arial" w:hAnsi="Arial" w:cs="Arial"/>
          <w:color w:val="auto"/>
          <w:sz w:val="20"/>
          <w:szCs w:val="20"/>
        </w:rPr>
      </w:pPr>
      <w:r w:rsidRPr="00990CB0">
        <w:rPr>
          <w:rFonts w:ascii="Arial" w:hAnsi="Arial" w:cs="Arial"/>
          <w:color w:val="auto"/>
          <w:sz w:val="20"/>
          <w:szCs w:val="20"/>
        </w:rPr>
        <w:t>Por otro lado, de acuerdo a la información proporcionada por la Superintendencia Nacional de Aduanas y de Administración Tributaria –SUNAT a</w:t>
      </w:r>
      <w:r w:rsidR="0014044A" w:rsidRPr="00990CB0">
        <w:rPr>
          <w:rFonts w:ascii="Arial" w:hAnsi="Arial" w:cs="Arial"/>
          <w:color w:val="auto"/>
          <w:sz w:val="20"/>
          <w:szCs w:val="20"/>
        </w:rPr>
        <w:t>l</w:t>
      </w:r>
      <w:r w:rsidRPr="00990CB0">
        <w:rPr>
          <w:rFonts w:ascii="Arial" w:hAnsi="Arial" w:cs="Arial"/>
          <w:color w:val="auto"/>
          <w:sz w:val="20"/>
          <w:szCs w:val="20"/>
        </w:rPr>
        <w:t xml:space="preserve"> 7 de diciembre de 2020</w:t>
      </w:r>
      <w:r w:rsidR="007A23DF" w:rsidRPr="00990CB0">
        <w:rPr>
          <w:rFonts w:ascii="Arial" w:hAnsi="Arial" w:cs="Arial"/>
          <w:color w:val="auto"/>
          <w:sz w:val="20"/>
          <w:szCs w:val="20"/>
        </w:rPr>
        <w:t>, del total de inscripciones en el RECPO a esa fecha, que suma</w:t>
      </w:r>
      <w:r w:rsidR="0014044A" w:rsidRPr="00990CB0">
        <w:rPr>
          <w:rFonts w:ascii="Arial" w:hAnsi="Arial" w:cs="Arial"/>
          <w:color w:val="auto"/>
          <w:sz w:val="20"/>
          <w:szCs w:val="20"/>
        </w:rPr>
        <w:t xml:space="preserve">ban 7893 registros, 5509 no habrían presentado su Declaración Jurada de impuesto a la renta del 2019, mientras que sólo el 30%, es decir 2384 habrían presentado </w:t>
      </w:r>
      <w:r w:rsidR="008C716C" w:rsidRPr="00990CB0">
        <w:rPr>
          <w:rFonts w:ascii="Arial" w:hAnsi="Arial" w:cs="Arial"/>
          <w:color w:val="auto"/>
          <w:sz w:val="20"/>
          <w:szCs w:val="20"/>
        </w:rPr>
        <w:t xml:space="preserve">dicha declaración. Asimismo, de la información remitida por SUNAT se tiene que 3688 inscripciones del RECPO no habrían presentado </w:t>
      </w:r>
      <w:r w:rsidR="00D912D4" w:rsidRPr="00990CB0">
        <w:rPr>
          <w:rFonts w:ascii="Arial" w:hAnsi="Arial" w:cs="Arial"/>
          <w:color w:val="auto"/>
          <w:sz w:val="20"/>
          <w:szCs w:val="20"/>
        </w:rPr>
        <w:t>sus Declaraciones</w:t>
      </w:r>
      <w:r w:rsidR="008C716C" w:rsidRPr="00990CB0">
        <w:rPr>
          <w:rFonts w:ascii="Arial" w:hAnsi="Arial" w:cs="Arial"/>
          <w:color w:val="auto"/>
          <w:sz w:val="20"/>
          <w:szCs w:val="20"/>
        </w:rPr>
        <w:t xml:space="preserve"> Juradas de impuesto a la renta de los años 2017, 2018 y 2019</w:t>
      </w:r>
      <w:r w:rsidR="006154FE" w:rsidRPr="00990CB0">
        <w:rPr>
          <w:rFonts w:ascii="Arial" w:hAnsi="Arial" w:cs="Arial"/>
          <w:color w:val="auto"/>
          <w:sz w:val="20"/>
          <w:szCs w:val="20"/>
        </w:rPr>
        <w:t xml:space="preserve">, con lo cual, se podría inferir que existe un </w:t>
      </w:r>
      <w:r w:rsidR="00AE4044" w:rsidRPr="00990CB0">
        <w:rPr>
          <w:rFonts w:ascii="Arial" w:hAnsi="Arial" w:cs="Arial"/>
          <w:color w:val="auto"/>
          <w:sz w:val="20"/>
          <w:szCs w:val="20"/>
        </w:rPr>
        <w:t>porcentaje</w:t>
      </w:r>
      <w:r w:rsidR="006154FE" w:rsidRPr="00990CB0">
        <w:rPr>
          <w:rFonts w:ascii="Arial" w:hAnsi="Arial" w:cs="Arial"/>
          <w:color w:val="auto"/>
          <w:sz w:val="20"/>
          <w:szCs w:val="20"/>
        </w:rPr>
        <w:t xml:space="preserve"> de inscritos en el RECPO que</w:t>
      </w:r>
      <w:r w:rsidR="00AE4044" w:rsidRPr="00990CB0">
        <w:rPr>
          <w:rFonts w:ascii="Arial" w:hAnsi="Arial" w:cs="Arial"/>
          <w:color w:val="auto"/>
          <w:sz w:val="20"/>
          <w:szCs w:val="20"/>
        </w:rPr>
        <w:t xml:space="preserve"> aparentemente no est</w:t>
      </w:r>
      <w:r w:rsidR="00D912D4" w:rsidRPr="00990CB0">
        <w:rPr>
          <w:rFonts w:ascii="Arial" w:hAnsi="Arial" w:cs="Arial"/>
          <w:color w:val="auto"/>
          <w:sz w:val="20"/>
          <w:szCs w:val="20"/>
        </w:rPr>
        <w:t>arían</w:t>
      </w:r>
      <w:r w:rsidR="00AE4044" w:rsidRPr="00990CB0">
        <w:rPr>
          <w:rFonts w:ascii="Arial" w:hAnsi="Arial" w:cs="Arial"/>
          <w:color w:val="auto"/>
          <w:sz w:val="20"/>
          <w:szCs w:val="20"/>
        </w:rPr>
        <w:t xml:space="preserve"> realizando </w:t>
      </w:r>
      <w:r w:rsidR="00892D4A" w:rsidRPr="00990CB0">
        <w:rPr>
          <w:rFonts w:ascii="Arial" w:hAnsi="Arial" w:cs="Arial"/>
          <w:color w:val="auto"/>
          <w:sz w:val="20"/>
          <w:szCs w:val="20"/>
        </w:rPr>
        <w:t>alguna operación económica generadora de renta</w:t>
      </w:r>
      <w:r w:rsidR="00287F58" w:rsidRPr="00990CB0">
        <w:rPr>
          <w:rFonts w:ascii="Arial" w:hAnsi="Arial" w:cs="Arial"/>
          <w:color w:val="auto"/>
          <w:sz w:val="20"/>
          <w:szCs w:val="20"/>
        </w:rPr>
        <w:t xml:space="preserve"> o incumpliendo sus obligaciones tributarias.</w:t>
      </w:r>
    </w:p>
    <w:p w14:paraId="28371C4F" w14:textId="77777777" w:rsidR="006154FE" w:rsidRPr="00990CB0" w:rsidRDefault="006154FE" w:rsidP="006154FE">
      <w:pPr>
        <w:pStyle w:val="Default"/>
        <w:ind w:left="426"/>
        <w:jc w:val="both"/>
        <w:rPr>
          <w:rFonts w:ascii="Arial" w:hAnsi="Arial" w:cs="Arial"/>
          <w:color w:val="auto"/>
          <w:sz w:val="20"/>
          <w:szCs w:val="20"/>
        </w:rPr>
      </w:pPr>
    </w:p>
    <w:p w14:paraId="6545B892" w14:textId="26E0F71C" w:rsidR="00A44EF8" w:rsidRPr="00990CB0" w:rsidRDefault="0004237A" w:rsidP="00E74CA5">
      <w:pPr>
        <w:pStyle w:val="Default"/>
        <w:ind w:left="426"/>
        <w:jc w:val="both"/>
        <w:rPr>
          <w:rFonts w:ascii="Arial" w:hAnsi="Arial" w:cs="Arial"/>
          <w:color w:val="auto"/>
          <w:sz w:val="20"/>
          <w:szCs w:val="20"/>
        </w:rPr>
      </w:pPr>
      <w:r w:rsidRPr="00990CB0">
        <w:rPr>
          <w:rFonts w:ascii="Arial" w:hAnsi="Arial" w:cs="Arial"/>
          <w:color w:val="auto"/>
          <w:sz w:val="20"/>
          <w:szCs w:val="20"/>
        </w:rPr>
        <w:t xml:space="preserve">Por todo lo expuesto, </w:t>
      </w:r>
      <w:r w:rsidR="00E97C7A" w:rsidRPr="00990CB0">
        <w:rPr>
          <w:rFonts w:ascii="Arial" w:hAnsi="Arial" w:cs="Arial"/>
          <w:color w:val="auto"/>
          <w:sz w:val="20"/>
          <w:szCs w:val="20"/>
        </w:rPr>
        <w:t xml:space="preserve">es posible concluir </w:t>
      </w:r>
      <w:r w:rsidR="00D912D4" w:rsidRPr="00990CB0">
        <w:rPr>
          <w:rFonts w:ascii="Arial" w:hAnsi="Arial" w:cs="Arial"/>
          <w:color w:val="auto"/>
          <w:sz w:val="20"/>
          <w:szCs w:val="20"/>
        </w:rPr>
        <w:t>que,</w:t>
      </w:r>
      <w:r w:rsidR="00E97C7A" w:rsidRPr="00990CB0">
        <w:rPr>
          <w:rFonts w:ascii="Arial" w:hAnsi="Arial" w:cs="Arial"/>
          <w:color w:val="auto"/>
          <w:sz w:val="20"/>
          <w:szCs w:val="20"/>
        </w:rPr>
        <w:t xml:space="preserve"> </w:t>
      </w:r>
      <w:r w:rsidR="00283DC9" w:rsidRPr="00990CB0">
        <w:rPr>
          <w:rFonts w:ascii="Arial" w:hAnsi="Arial" w:cs="Arial"/>
          <w:color w:val="auto"/>
          <w:sz w:val="20"/>
          <w:szCs w:val="20"/>
        </w:rPr>
        <w:t>si bien existe un registro administrativo donde se encuentran registrados las personas que se dedican a la compra, venta y/o refinación del mineral, dicho registro no cuenta con requisitos ni procedimiento</w:t>
      </w:r>
      <w:r w:rsidR="000D4BB9" w:rsidRPr="00990CB0">
        <w:rPr>
          <w:rFonts w:ascii="Arial" w:hAnsi="Arial" w:cs="Arial"/>
          <w:color w:val="auto"/>
          <w:sz w:val="20"/>
          <w:szCs w:val="20"/>
        </w:rPr>
        <w:t>s</w:t>
      </w:r>
      <w:r w:rsidR="00283DC9" w:rsidRPr="00990CB0">
        <w:rPr>
          <w:rFonts w:ascii="Arial" w:hAnsi="Arial" w:cs="Arial"/>
          <w:color w:val="auto"/>
          <w:sz w:val="20"/>
          <w:szCs w:val="20"/>
        </w:rPr>
        <w:t xml:space="preserve"> </w:t>
      </w:r>
      <w:r w:rsidR="007F7183" w:rsidRPr="00990CB0">
        <w:rPr>
          <w:rFonts w:ascii="Arial" w:hAnsi="Arial" w:cs="Arial"/>
          <w:color w:val="auto"/>
          <w:sz w:val="20"/>
          <w:szCs w:val="20"/>
        </w:rPr>
        <w:t>para su ingreso, ni</w:t>
      </w:r>
      <w:r w:rsidR="00283DC9" w:rsidRPr="00990CB0">
        <w:rPr>
          <w:rFonts w:ascii="Arial" w:hAnsi="Arial" w:cs="Arial"/>
          <w:color w:val="auto"/>
          <w:sz w:val="20"/>
          <w:szCs w:val="20"/>
        </w:rPr>
        <w:t xml:space="preserve"> cuenta </w:t>
      </w:r>
      <w:r w:rsidR="007F7183" w:rsidRPr="00990CB0">
        <w:rPr>
          <w:rFonts w:ascii="Arial" w:hAnsi="Arial" w:cs="Arial"/>
          <w:color w:val="auto"/>
          <w:sz w:val="20"/>
          <w:szCs w:val="20"/>
        </w:rPr>
        <w:t>con condiciones acceso o de permanencia al mismo. Tampoco, se establecen</w:t>
      </w:r>
      <w:r w:rsidR="00283DC9" w:rsidRPr="00990CB0">
        <w:rPr>
          <w:rFonts w:ascii="Arial" w:hAnsi="Arial" w:cs="Arial"/>
          <w:color w:val="auto"/>
          <w:sz w:val="20"/>
          <w:szCs w:val="20"/>
        </w:rPr>
        <w:t xml:space="preserve"> </w:t>
      </w:r>
      <w:r w:rsidR="007F7183" w:rsidRPr="00990CB0">
        <w:rPr>
          <w:rFonts w:ascii="Arial" w:hAnsi="Arial" w:cs="Arial"/>
          <w:color w:val="auto"/>
          <w:sz w:val="20"/>
          <w:szCs w:val="20"/>
        </w:rPr>
        <w:lastRenderedPageBreak/>
        <w:t xml:space="preserve">consecuencias para quienes no </w:t>
      </w:r>
      <w:r w:rsidR="00E97C7A" w:rsidRPr="00990CB0">
        <w:rPr>
          <w:rFonts w:ascii="Arial" w:hAnsi="Arial" w:cs="Arial"/>
          <w:color w:val="auto"/>
          <w:sz w:val="20"/>
          <w:szCs w:val="20"/>
        </w:rPr>
        <w:t>estando en inscritos en el RECPO</w:t>
      </w:r>
      <w:r w:rsidR="00A44EF8" w:rsidRPr="00990CB0">
        <w:rPr>
          <w:rFonts w:ascii="Arial" w:hAnsi="Arial" w:cs="Arial"/>
          <w:color w:val="auto"/>
          <w:sz w:val="20"/>
          <w:szCs w:val="20"/>
        </w:rPr>
        <w:t xml:space="preserve"> </w:t>
      </w:r>
      <w:r w:rsidR="00266D6A" w:rsidRPr="00990CB0">
        <w:rPr>
          <w:rFonts w:ascii="Arial" w:hAnsi="Arial" w:cs="Arial"/>
          <w:color w:val="auto"/>
          <w:sz w:val="20"/>
          <w:szCs w:val="20"/>
        </w:rPr>
        <w:t>comercialicen</w:t>
      </w:r>
      <w:r w:rsidR="007F7183" w:rsidRPr="00990CB0">
        <w:rPr>
          <w:rFonts w:ascii="Arial" w:hAnsi="Arial" w:cs="Arial"/>
          <w:color w:val="auto"/>
          <w:sz w:val="20"/>
          <w:szCs w:val="20"/>
        </w:rPr>
        <w:t xml:space="preserve"> y/o </w:t>
      </w:r>
      <w:r w:rsidR="000D4BB9" w:rsidRPr="00990CB0">
        <w:rPr>
          <w:rFonts w:ascii="Arial" w:hAnsi="Arial" w:cs="Arial"/>
          <w:color w:val="auto"/>
          <w:sz w:val="20"/>
          <w:szCs w:val="20"/>
        </w:rPr>
        <w:t xml:space="preserve">refinen oro, aspectos que pueden sumarse a una serie de </w:t>
      </w:r>
      <w:r w:rsidR="00E97C7A" w:rsidRPr="00990CB0">
        <w:rPr>
          <w:rFonts w:ascii="Arial" w:hAnsi="Arial" w:cs="Arial"/>
          <w:color w:val="auto"/>
          <w:sz w:val="20"/>
          <w:szCs w:val="20"/>
        </w:rPr>
        <w:t>problemas descrito</w:t>
      </w:r>
      <w:r w:rsidR="000D4BB9" w:rsidRPr="00990CB0">
        <w:rPr>
          <w:rFonts w:ascii="Arial" w:hAnsi="Arial" w:cs="Arial"/>
          <w:color w:val="auto"/>
          <w:sz w:val="20"/>
          <w:szCs w:val="20"/>
        </w:rPr>
        <w:t>s a continuación:</w:t>
      </w:r>
      <w:r w:rsidR="000D4BB9" w:rsidRPr="00990CB0">
        <w:rPr>
          <w:rStyle w:val="Refdenotaalpie"/>
          <w:rFonts w:ascii="Arial" w:hAnsi="Arial" w:cs="Arial"/>
          <w:color w:val="auto"/>
          <w:sz w:val="20"/>
          <w:szCs w:val="20"/>
        </w:rPr>
        <w:footnoteReference w:id="5"/>
      </w:r>
    </w:p>
    <w:p w14:paraId="3EC6A9E2" w14:textId="77777777" w:rsidR="006154FE" w:rsidRPr="00990CB0" w:rsidRDefault="006154FE" w:rsidP="00E74CA5">
      <w:pPr>
        <w:pStyle w:val="Default"/>
        <w:ind w:left="426"/>
        <w:jc w:val="both"/>
        <w:rPr>
          <w:rFonts w:ascii="Arial" w:hAnsi="Arial" w:cs="Arial"/>
          <w:color w:val="auto"/>
          <w:sz w:val="20"/>
          <w:szCs w:val="20"/>
        </w:rPr>
      </w:pPr>
    </w:p>
    <w:p w14:paraId="66700BB4" w14:textId="28D959E5" w:rsidR="004E2381" w:rsidRPr="00990CB0" w:rsidRDefault="00E97C7A" w:rsidP="004E2381">
      <w:pPr>
        <w:pStyle w:val="Default"/>
        <w:numPr>
          <w:ilvl w:val="0"/>
          <w:numId w:val="19"/>
        </w:numPr>
        <w:jc w:val="both"/>
        <w:rPr>
          <w:rFonts w:ascii="Arial" w:hAnsi="Arial" w:cs="Arial"/>
          <w:color w:val="auto"/>
          <w:sz w:val="20"/>
          <w:szCs w:val="20"/>
        </w:rPr>
      </w:pPr>
      <w:r w:rsidRPr="00990CB0">
        <w:rPr>
          <w:rFonts w:ascii="Arial" w:hAnsi="Arial" w:cs="Arial"/>
          <w:color w:val="auto"/>
          <w:sz w:val="20"/>
          <w:szCs w:val="20"/>
        </w:rPr>
        <w:t xml:space="preserve">El RECPO se encuentra en una fase inicial de implementación y recoge información de carácter general, que no le permite recoger información fiable sobre comercialización de oro. Adicionalmente el REPCO no tiene interoperabilidad con otras bases de datos, ni cuenta con una interface amigable de usuario que facilite los procesos de inscripción al RECPO y de actualización oportuna de la información declarada por los usuarios. Esto limita el cruce de información para detectar de manera </w:t>
      </w:r>
      <w:r w:rsidR="00D912D4" w:rsidRPr="00990CB0">
        <w:rPr>
          <w:rFonts w:ascii="Arial" w:hAnsi="Arial" w:cs="Arial"/>
          <w:color w:val="auto"/>
          <w:sz w:val="20"/>
          <w:szCs w:val="20"/>
        </w:rPr>
        <w:t>oportuna aquellas operaciones</w:t>
      </w:r>
      <w:r w:rsidRPr="00990CB0">
        <w:rPr>
          <w:rFonts w:ascii="Arial" w:hAnsi="Arial" w:cs="Arial"/>
          <w:color w:val="auto"/>
          <w:sz w:val="20"/>
          <w:szCs w:val="20"/>
        </w:rPr>
        <w:t xml:space="preserve"> sospechosas dentro del proceso de comercialización de oro de la </w:t>
      </w:r>
      <w:r w:rsidR="004E2381" w:rsidRPr="00990CB0">
        <w:rPr>
          <w:rFonts w:ascii="Arial" w:hAnsi="Arial" w:cs="Arial"/>
          <w:color w:val="auto"/>
          <w:sz w:val="20"/>
          <w:szCs w:val="20"/>
        </w:rPr>
        <w:t>minería en pequeña escala</w:t>
      </w:r>
      <w:r w:rsidRPr="00990CB0">
        <w:rPr>
          <w:rFonts w:ascii="Arial" w:hAnsi="Arial" w:cs="Arial"/>
          <w:color w:val="auto"/>
          <w:sz w:val="20"/>
          <w:szCs w:val="20"/>
        </w:rPr>
        <w:t xml:space="preserve">, desalienta los procesos de inscripción al RECPO y dificulta las acciones de control y fiscalización para verificar el origen legal de mineral comercializado por la </w:t>
      </w:r>
      <w:r w:rsidR="004E2381" w:rsidRPr="00990CB0">
        <w:rPr>
          <w:rFonts w:ascii="Arial" w:hAnsi="Arial" w:cs="Arial"/>
          <w:color w:val="auto"/>
          <w:sz w:val="20"/>
          <w:szCs w:val="20"/>
        </w:rPr>
        <w:t>minería en pequeña escala.</w:t>
      </w:r>
    </w:p>
    <w:p w14:paraId="737DF8F7" w14:textId="77777777" w:rsidR="004E2381" w:rsidRPr="00990CB0" w:rsidRDefault="004E2381" w:rsidP="004E2381">
      <w:pPr>
        <w:pStyle w:val="Default"/>
        <w:ind w:left="786"/>
        <w:jc w:val="both"/>
        <w:rPr>
          <w:rFonts w:ascii="Arial" w:hAnsi="Arial" w:cs="Arial"/>
          <w:color w:val="auto"/>
          <w:sz w:val="20"/>
          <w:szCs w:val="20"/>
        </w:rPr>
      </w:pPr>
    </w:p>
    <w:p w14:paraId="42C5103E" w14:textId="05B6AE6E" w:rsidR="004E2381" w:rsidRPr="00990CB0" w:rsidRDefault="00E97C7A" w:rsidP="004E2381">
      <w:pPr>
        <w:pStyle w:val="Default"/>
        <w:numPr>
          <w:ilvl w:val="0"/>
          <w:numId w:val="19"/>
        </w:numPr>
        <w:jc w:val="both"/>
        <w:rPr>
          <w:rFonts w:ascii="Arial" w:hAnsi="Arial" w:cs="Arial"/>
          <w:color w:val="auto"/>
          <w:sz w:val="20"/>
          <w:szCs w:val="20"/>
        </w:rPr>
      </w:pPr>
      <w:r w:rsidRPr="00990CB0">
        <w:rPr>
          <w:rFonts w:ascii="Arial" w:hAnsi="Arial" w:cs="Arial"/>
          <w:color w:val="auto"/>
          <w:sz w:val="20"/>
          <w:szCs w:val="20"/>
        </w:rPr>
        <w:t xml:space="preserve">Al hacer obligatoria la inscripción de todas las personas naturales y jurídicas que compran y/o venden oro, el RECPO genera la obligación de inscripción de aquellos mineros en vías de formalización que se dedican únicamente al proceso de </w:t>
      </w:r>
      <w:r w:rsidR="00D912D4" w:rsidRPr="00990CB0">
        <w:rPr>
          <w:rFonts w:ascii="Arial" w:hAnsi="Arial" w:cs="Arial"/>
          <w:color w:val="auto"/>
          <w:sz w:val="20"/>
          <w:szCs w:val="20"/>
        </w:rPr>
        <w:t>extracción,</w:t>
      </w:r>
      <w:r w:rsidRPr="00990CB0">
        <w:rPr>
          <w:rFonts w:ascii="Arial" w:hAnsi="Arial" w:cs="Arial"/>
          <w:color w:val="auto"/>
          <w:sz w:val="20"/>
          <w:szCs w:val="20"/>
        </w:rPr>
        <w:t xml:space="preserve"> pero cuya producción debe ser comercializada a terceros. Bajo este parámetro todos los mineros inscritos ya en el REINFO, que se dedican a la minería aurífera, deberían estar inscritos además en el RECPO, generándoles la obligación de una doble inscripción. </w:t>
      </w:r>
    </w:p>
    <w:p w14:paraId="6E0E458F" w14:textId="77777777" w:rsidR="00892D4A" w:rsidRPr="00990CB0" w:rsidRDefault="00892D4A" w:rsidP="00892D4A">
      <w:pPr>
        <w:pStyle w:val="Default"/>
        <w:ind w:left="786"/>
        <w:jc w:val="both"/>
        <w:rPr>
          <w:rFonts w:ascii="Arial" w:hAnsi="Arial" w:cs="Arial"/>
          <w:color w:val="auto"/>
          <w:sz w:val="20"/>
          <w:szCs w:val="20"/>
        </w:rPr>
      </w:pPr>
    </w:p>
    <w:p w14:paraId="17A24775" w14:textId="154E0B25" w:rsidR="00E60EEE" w:rsidRPr="00990CB0" w:rsidRDefault="00E97C7A" w:rsidP="00E60EEE">
      <w:pPr>
        <w:pStyle w:val="Default"/>
        <w:numPr>
          <w:ilvl w:val="0"/>
          <w:numId w:val="19"/>
        </w:numPr>
        <w:jc w:val="both"/>
        <w:rPr>
          <w:rFonts w:ascii="Arial" w:hAnsi="Arial" w:cs="Arial"/>
          <w:color w:val="auto"/>
          <w:sz w:val="20"/>
          <w:szCs w:val="20"/>
        </w:rPr>
      </w:pPr>
      <w:r w:rsidRPr="00990CB0">
        <w:rPr>
          <w:rFonts w:ascii="Arial" w:hAnsi="Arial" w:cs="Arial"/>
          <w:color w:val="auto"/>
          <w:sz w:val="20"/>
          <w:szCs w:val="20"/>
        </w:rPr>
        <w:t xml:space="preserve">La inscripción en el RECPO no le brinda al usuario o a los agentes encargados del control y fiscalización del traslado y comercialización de minerales (PNP, SUNAT, Ministerio Público) la posibilidad de consulta rápida para acreditar la inscripción del usuario en dicho registro. </w:t>
      </w:r>
    </w:p>
    <w:p w14:paraId="13D43858" w14:textId="77777777" w:rsidR="00892D4A" w:rsidRPr="00990CB0" w:rsidRDefault="00892D4A" w:rsidP="00892D4A">
      <w:pPr>
        <w:pStyle w:val="Default"/>
        <w:ind w:left="786"/>
        <w:jc w:val="both"/>
        <w:rPr>
          <w:rFonts w:ascii="Arial" w:hAnsi="Arial" w:cs="Arial"/>
          <w:color w:val="auto"/>
          <w:sz w:val="20"/>
          <w:szCs w:val="20"/>
        </w:rPr>
      </w:pPr>
    </w:p>
    <w:p w14:paraId="48265875" w14:textId="79ECFDDE" w:rsidR="00E60EEE" w:rsidRPr="00990CB0" w:rsidRDefault="00E97C7A" w:rsidP="00E60EEE">
      <w:pPr>
        <w:pStyle w:val="Default"/>
        <w:numPr>
          <w:ilvl w:val="0"/>
          <w:numId w:val="19"/>
        </w:numPr>
        <w:jc w:val="both"/>
        <w:rPr>
          <w:rFonts w:ascii="Arial" w:hAnsi="Arial" w:cs="Arial"/>
          <w:color w:val="auto"/>
          <w:sz w:val="20"/>
          <w:szCs w:val="20"/>
        </w:rPr>
      </w:pPr>
      <w:r w:rsidRPr="00990CB0">
        <w:rPr>
          <w:rFonts w:ascii="Arial" w:hAnsi="Arial" w:cs="Arial"/>
          <w:color w:val="auto"/>
          <w:sz w:val="20"/>
          <w:szCs w:val="20"/>
        </w:rPr>
        <w:t>El RECPO no cuenta con un procedimiento administrativo sancionador que desincentive el incumplimiento de lo dispuesto en la creación de este registro.</w:t>
      </w:r>
    </w:p>
    <w:p w14:paraId="6A828B89" w14:textId="77777777" w:rsidR="00892D4A" w:rsidRPr="00990CB0" w:rsidRDefault="00892D4A" w:rsidP="00892D4A">
      <w:pPr>
        <w:pStyle w:val="Default"/>
        <w:ind w:left="786"/>
        <w:jc w:val="both"/>
        <w:rPr>
          <w:rFonts w:ascii="Arial" w:hAnsi="Arial" w:cs="Arial"/>
          <w:color w:val="auto"/>
          <w:sz w:val="20"/>
          <w:szCs w:val="20"/>
        </w:rPr>
      </w:pPr>
    </w:p>
    <w:p w14:paraId="16B11D66" w14:textId="3BD4B723" w:rsidR="00E97C7A" w:rsidRPr="00990CB0" w:rsidRDefault="00E97C7A" w:rsidP="00E60EEE">
      <w:pPr>
        <w:pStyle w:val="Default"/>
        <w:numPr>
          <w:ilvl w:val="0"/>
          <w:numId w:val="19"/>
        </w:numPr>
        <w:jc w:val="both"/>
        <w:rPr>
          <w:rFonts w:ascii="Arial" w:hAnsi="Arial" w:cs="Arial"/>
          <w:color w:val="auto"/>
          <w:sz w:val="20"/>
          <w:szCs w:val="20"/>
        </w:rPr>
      </w:pPr>
      <w:r w:rsidRPr="00990CB0">
        <w:rPr>
          <w:rFonts w:ascii="Arial" w:hAnsi="Arial" w:cs="Arial"/>
          <w:color w:val="auto"/>
          <w:sz w:val="20"/>
          <w:szCs w:val="20"/>
        </w:rPr>
        <w:t xml:space="preserve">El </w:t>
      </w:r>
      <w:r w:rsidR="00E60EEE" w:rsidRPr="00990CB0">
        <w:rPr>
          <w:rFonts w:ascii="Arial" w:hAnsi="Arial" w:cs="Arial"/>
          <w:color w:val="auto"/>
          <w:sz w:val="20"/>
          <w:szCs w:val="20"/>
        </w:rPr>
        <w:t>RECPO</w:t>
      </w:r>
      <w:r w:rsidRPr="00990CB0">
        <w:rPr>
          <w:rFonts w:ascii="Arial" w:hAnsi="Arial" w:cs="Arial"/>
          <w:color w:val="auto"/>
          <w:sz w:val="20"/>
          <w:szCs w:val="20"/>
        </w:rPr>
        <w:t xml:space="preserve"> contiene en su base de datos a personas que </w:t>
      </w:r>
      <w:r w:rsidR="00E60EEE" w:rsidRPr="00990CB0">
        <w:rPr>
          <w:rFonts w:ascii="Arial" w:hAnsi="Arial" w:cs="Arial"/>
          <w:color w:val="auto"/>
          <w:sz w:val="20"/>
          <w:szCs w:val="20"/>
        </w:rPr>
        <w:t>no reportan operaciones reales de compra o acopio de minerales</w:t>
      </w:r>
      <w:r w:rsidRPr="00990CB0">
        <w:rPr>
          <w:rFonts w:ascii="Arial" w:hAnsi="Arial" w:cs="Arial"/>
          <w:color w:val="auto"/>
          <w:sz w:val="20"/>
          <w:szCs w:val="20"/>
        </w:rPr>
        <w:t>, distorsionando la finalidad de este registro.</w:t>
      </w:r>
    </w:p>
    <w:p w14:paraId="23C1992B" w14:textId="77777777" w:rsidR="006154FE" w:rsidRPr="00990CB0" w:rsidRDefault="006154FE" w:rsidP="00E74CA5">
      <w:pPr>
        <w:pStyle w:val="Default"/>
        <w:ind w:left="426"/>
        <w:jc w:val="both"/>
        <w:rPr>
          <w:rFonts w:ascii="Arial" w:hAnsi="Arial" w:cs="Arial"/>
          <w:color w:val="auto"/>
          <w:sz w:val="20"/>
          <w:szCs w:val="20"/>
        </w:rPr>
      </w:pPr>
    </w:p>
    <w:p w14:paraId="551DB932" w14:textId="77777777" w:rsidR="00E97C7A" w:rsidRPr="00990CB0" w:rsidRDefault="00E97C7A" w:rsidP="00E74CA5">
      <w:pPr>
        <w:pStyle w:val="Default"/>
        <w:ind w:left="426"/>
        <w:jc w:val="both"/>
        <w:rPr>
          <w:rFonts w:ascii="Arial" w:hAnsi="Arial" w:cs="Arial"/>
          <w:color w:val="auto"/>
          <w:sz w:val="20"/>
          <w:szCs w:val="20"/>
        </w:rPr>
      </w:pPr>
    </w:p>
    <w:p w14:paraId="7056A44E" w14:textId="77777777" w:rsidR="00A039F9" w:rsidRPr="00990CB0" w:rsidRDefault="00A039F9" w:rsidP="00E74CA5">
      <w:pPr>
        <w:shd w:val="clear" w:color="auto" w:fill="FFFFFF"/>
        <w:spacing w:after="0" w:line="240" w:lineRule="auto"/>
        <w:ind w:firstLine="426"/>
        <w:jc w:val="both"/>
        <w:rPr>
          <w:rFonts w:ascii="Arial" w:eastAsia="Calibri" w:hAnsi="Arial" w:cs="Arial"/>
          <w:b/>
          <w:bCs/>
          <w:i/>
          <w:iCs/>
          <w:sz w:val="20"/>
          <w:szCs w:val="20"/>
        </w:rPr>
      </w:pPr>
      <w:r w:rsidRPr="00990CB0">
        <w:rPr>
          <w:rFonts w:ascii="Arial" w:eastAsia="Calibri" w:hAnsi="Arial" w:cs="Arial"/>
          <w:b/>
          <w:bCs/>
          <w:i/>
          <w:iCs/>
          <w:sz w:val="20"/>
          <w:szCs w:val="20"/>
        </w:rPr>
        <w:t>La amenaza de la minería ilegal para la pequeña minería y minería artesanal</w:t>
      </w:r>
    </w:p>
    <w:p w14:paraId="46EA28D1" w14:textId="77777777" w:rsidR="00DA19BC" w:rsidRPr="00990CB0" w:rsidRDefault="00DA19BC" w:rsidP="00E74CA5">
      <w:pPr>
        <w:shd w:val="clear" w:color="auto" w:fill="FFFFFF"/>
        <w:spacing w:after="0" w:line="240" w:lineRule="auto"/>
        <w:ind w:left="426"/>
        <w:jc w:val="both"/>
        <w:rPr>
          <w:rFonts w:ascii="Arial" w:eastAsia="Calibri" w:hAnsi="Arial" w:cs="Arial"/>
          <w:sz w:val="20"/>
          <w:szCs w:val="20"/>
        </w:rPr>
      </w:pPr>
    </w:p>
    <w:p w14:paraId="202CA3BB" w14:textId="6CD19601" w:rsidR="00A039F9" w:rsidRPr="00990CB0" w:rsidRDefault="00A039F9" w:rsidP="00E74CA5">
      <w:pPr>
        <w:shd w:val="clear" w:color="auto" w:fill="FFFFFF"/>
        <w:spacing w:after="0" w:line="240" w:lineRule="auto"/>
        <w:ind w:left="426"/>
        <w:jc w:val="both"/>
        <w:rPr>
          <w:rFonts w:ascii="Arial" w:eastAsia="Calibri" w:hAnsi="Arial" w:cs="Arial"/>
          <w:sz w:val="20"/>
          <w:szCs w:val="20"/>
        </w:rPr>
      </w:pPr>
      <w:r w:rsidRPr="00990CB0">
        <w:rPr>
          <w:rFonts w:ascii="Arial" w:eastAsia="Calibri" w:hAnsi="Arial" w:cs="Arial"/>
          <w:sz w:val="20"/>
          <w:szCs w:val="20"/>
        </w:rPr>
        <w:t xml:space="preserve">Desde mediados de la década pasada el incremento en los precios internacionales del oro, ha generado el desarrollo acelerado de operaciones mineras informales en todo el mundo. En ese camino </w:t>
      </w:r>
      <w:r w:rsidR="00D912D4" w:rsidRPr="00990CB0">
        <w:rPr>
          <w:rFonts w:ascii="Arial" w:eastAsia="Calibri" w:hAnsi="Arial" w:cs="Arial"/>
          <w:sz w:val="20"/>
          <w:szCs w:val="20"/>
        </w:rPr>
        <w:t>el desarrollo de actividades delictivas vinculadas a la extracción ilegal de este metal precioso representa</w:t>
      </w:r>
      <w:r w:rsidRPr="00990CB0">
        <w:rPr>
          <w:rFonts w:ascii="Arial" w:eastAsia="Calibri" w:hAnsi="Arial" w:cs="Arial"/>
          <w:sz w:val="20"/>
          <w:szCs w:val="20"/>
        </w:rPr>
        <w:t xml:space="preserve"> una amenaza al desarrollo del sector minero y especialmente aurífero en pequeña escala, por las dificultades logísticas, tecnológicas y regulatorias para identificar oportunamente el ingreso de oro extraído ilegalmente en la cadena de valor. Desde el lado estatal se ha hecho una serie de esfuerzos, centrados principalmente en el control del transporte y comercialización de minerales. Esta tarea no es de poca envergadura, teniendo en cuenta que no menos del 50% de mineros inscritos en el REINFO (aproximadamente 30 mil mineros), tiene que transportar su mineral hacia una planta de beneficio (Chala, </w:t>
      </w:r>
      <w:r w:rsidR="00D912D4" w:rsidRPr="00990CB0">
        <w:rPr>
          <w:rFonts w:ascii="Arial" w:eastAsia="Calibri" w:hAnsi="Arial" w:cs="Arial"/>
          <w:sz w:val="20"/>
          <w:szCs w:val="20"/>
        </w:rPr>
        <w:t>Nasca, como</w:t>
      </w:r>
      <w:r w:rsidRPr="00990CB0">
        <w:rPr>
          <w:rFonts w:ascii="Arial" w:eastAsia="Calibri" w:hAnsi="Arial" w:cs="Arial"/>
          <w:sz w:val="20"/>
          <w:szCs w:val="20"/>
        </w:rPr>
        <w:t xml:space="preserve"> principales </w:t>
      </w:r>
      <w:r w:rsidR="00DA19BC" w:rsidRPr="00990CB0">
        <w:rPr>
          <w:rFonts w:ascii="Arial" w:eastAsia="Calibri" w:hAnsi="Arial" w:cs="Arial"/>
          <w:sz w:val="20"/>
          <w:szCs w:val="20"/>
        </w:rPr>
        <w:t>destinos</w:t>
      </w:r>
      <w:r w:rsidRPr="00990CB0">
        <w:rPr>
          <w:rFonts w:ascii="Arial" w:eastAsia="Calibri" w:hAnsi="Arial" w:cs="Arial"/>
          <w:sz w:val="20"/>
          <w:szCs w:val="20"/>
        </w:rPr>
        <w:t>).</w:t>
      </w:r>
    </w:p>
    <w:p w14:paraId="6B92138C" w14:textId="77777777" w:rsidR="00DA19BC" w:rsidRPr="00990CB0" w:rsidRDefault="00DA19BC" w:rsidP="00E74CA5">
      <w:pPr>
        <w:spacing w:after="0" w:line="240" w:lineRule="auto"/>
        <w:ind w:left="426"/>
        <w:jc w:val="both"/>
        <w:rPr>
          <w:rFonts w:ascii="Arial" w:eastAsia="Yu Mincho" w:hAnsi="Arial" w:cs="Arial"/>
          <w:sz w:val="20"/>
          <w:szCs w:val="20"/>
          <w:lang w:eastAsia="es-PE"/>
        </w:rPr>
      </w:pPr>
    </w:p>
    <w:p w14:paraId="5E04E129" w14:textId="1AFB4F47" w:rsidR="00A039F9" w:rsidRPr="00990CB0" w:rsidRDefault="00A039F9" w:rsidP="00E74CA5">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t xml:space="preserve">Sin embargo, la necesaria implementación de estos procesos de control puede ser contraproducente si las entidades encargadas de dichos procesos tienen problemas logísticos, de regulación y de coordinación que hacen del transporte de minerales para la pequeña minería y minería </w:t>
      </w:r>
      <w:r w:rsidR="00D912D4" w:rsidRPr="00990CB0">
        <w:rPr>
          <w:rFonts w:ascii="Arial" w:eastAsia="Yu Mincho" w:hAnsi="Arial" w:cs="Arial"/>
          <w:sz w:val="20"/>
          <w:szCs w:val="20"/>
          <w:lang w:eastAsia="es-PE"/>
        </w:rPr>
        <w:t>artesanal un</w:t>
      </w:r>
      <w:r w:rsidRPr="00990CB0">
        <w:rPr>
          <w:rFonts w:ascii="Arial" w:eastAsia="Yu Mincho" w:hAnsi="Arial" w:cs="Arial"/>
          <w:sz w:val="20"/>
          <w:szCs w:val="20"/>
          <w:lang w:eastAsia="es-PE"/>
        </w:rPr>
        <w:t xml:space="preserve"> proceso complejo, poco predecible, desgastante y costoso</w:t>
      </w:r>
      <w:r w:rsidRPr="00990CB0">
        <w:rPr>
          <w:rFonts w:ascii="Arial" w:eastAsia="Yu Mincho" w:hAnsi="Arial" w:cs="Arial"/>
          <w:sz w:val="20"/>
          <w:szCs w:val="20"/>
          <w:vertAlign w:val="superscript"/>
          <w:lang w:eastAsia="es-PE"/>
        </w:rPr>
        <w:footnoteReference w:id="6"/>
      </w:r>
      <w:r w:rsidRPr="00990CB0">
        <w:rPr>
          <w:rFonts w:ascii="Arial" w:eastAsia="Yu Mincho" w:hAnsi="Arial" w:cs="Arial"/>
          <w:sz w:val="20"/>
          <w:szCs w:val="20"/>
          <w:lang w:eastAsia="es-PE"/>
        </w:rPr>
        <w:t xml:space="preserve">. Estos altos costos perjudican la competitividad económica del minero y generan </w:t>
      </w:r>
      <w:r w:rsidRPr="00990CB0">
        <w:rPr>
          <w:rFonts w:ascii="Arial" w:eastAsia="Yu Mincho" w:hAnsi="Arial" w:cs="Arial"/>
          <w:sz w:val="20"/>
          <w:szCs w:val="20"/>
          <w:lang w:eastAsia="es-PE"/>
        </w:rPr>
        <w:lastRenderedPageBreak/>
        <w:t>incentivos para el desarrollo de una oferta de intermediarios y un mercado informal/ilegal de transporte de minerales que perjudica al país y a los objetivos de formalización.</w:t>
      </w:r>
    </w:p>
    <w:p w14:paraId="7C3ED31C" w14:textId="77777777" w:rsidR="00A039F9" w:rsidRPr="00990CB0" w:rsidRDefault="00A039F9" w:rsidP="00E74CA5">
      <w:pPr>
        <w:spacing w:after="0" w:line="240" w:lineRule="auto"/>
        <w:jc w:val="both"/>
        <w:rPr>
          <w:rFonts w:ascii="Arial" w:eastAsia="Yu Mincho" w:hAnsi="Arial" w:cs="Arial"/>
          <w:sz w:val="20"/>
          <w:szCs w:val="20"/>
          <w:lang w:eastAsia="es-PE"/>
        </w:rPr>
      </w:pPr>
    </w:p>
    <w:p w14:paraId="1135C49F" w14:textId="532587AD" w:rsidR="00A039F9" w:rsidRPr="00990CB0" w:rsidRDefault="00A039F9" w:rsidP="00E74CA5">
      <w:pPr>
        <w:spacing w:after="0" w:line="240" w:lineRule="auto"/>
        <w:ind w:left="426"/>
        <w:jc w:val="both"/>
        <w:rPr>
          <w:rFonts w:ascii="Arial" w:eastAsia="Yu Mincho" w:hAnsi="Arial" w:cs="Arial"/>
          <w:sz w:val="20"/>
          <w:szCs w:val="20"/>
          <w:lang w:eastAsia="es-PE"/>
        </w:rPr>
      </w:pPr>
      <w:r w:rsidRPr="00990CB0">
        <w:rPr>
          <w:rFonts w:ascii="Arial" w:eastAsia="Yu Mincho" w:hAnsi="Arial" w:cs="Arial"/>
          <w:sz w:val="20"/>
          <w:szCs w:val="20"/>
          <w:lang w:eastAsia="es-PE"/>
        </w:rPr>
        <w:t xml:space="preserve">En el proceso minero, el traslado del mineral es un aspecto clave de la sostenibilidad económica del productor minero. La idoneidad de dicho proceso define en última instancia la eficiencia económica del productor minero para llevar su producto al mercado, la razón de ser de cualquier actividad económica en una economía social de mercado. La implementación de un sistema de trazabilidad y el fomento de políticas empresariales de debida diligencia puede ser el camino que nos lleve a tener controles eficientes y una cadena de valor del oro de la minería en pequeña </w:t>
      </w:r>
      <w:r w:rsidR="00892D4A" w:rsidRPr="00990CB0">
        <w:rPr>
          <w:rFonts w:ascii="Arial" w:eastAsia="Yu Mincho" w:hAnsi="Arial" w:cs="Arial"/>
          <w:sz w:val="20"/>
          <w:szCs w:val="20"/>
          <w:lang w:eastAsia="es-PE"/>
        </w:rPr>
        <w:t>escala con</w:t>
      </w:r>
      <w:r w:rsidRPr="00990CB0">
        <w:rPr>
          <w:rFonts w:ascii="Arial" w:eastAsia="Yu Mincho" w:hAnsi="Arial" w:cs="Arial"/>
          <w:sz w:val="20"/>
          <w:szCs w:val="20"/>
          <w:lang w:eastAsia="es-PE"/>
        </w:rPr>
        <w:t xml:space="preserve"> bajo riesgo. </w:t>
      </w:r>
    </w:p>
    <w:p w14:paraId="56C4CD85" w14:textId="77777777" w:rsidR="00A039F9" w:rsidRPr="00990CB0" w:rsidRDefault="00A039F9" w:rsidP="00E74CA5">
      <w:pPr>
        <w:spacing w:after="0" w:line="240" w:lineRule="auto"/>
        <w:ind w:left="426"/>
        <w:jc w:val="both"/>
        <w:rPr>
          <w:rFonts w:ascii="Arial" w:eastAsia="Calibri" w:hAnsi="Arial" w:cs="Arial"/>
          <w:sz w:val="20"/>
          <w:szCs w:val="20"/>
          <w:lang w:eastAsia="es-PE"/>
        </w:rPr>
      </w:pPr>
    </w:p>
    <w:p w14:paraId="570D4547" w14:textId="77777777" w:rsidR="00A039F9" w:rsidRPr="00990CB0" w:rsidRDefault="00A039F9" w:rsidP="00E74CA5">
      <w:pPr>
        <w:spacing w:after="0" w:line="240" w:lineRule="auto"/>
        <w:ind w:left="426"/>
        <w:jc w:val="both"/>
        <w:rPr>
          <w:rFonts w:ascii="Arial" w:eastAsia="Calibri" w:hAnsi="Arial" w:cs="Arial"/>
          <w:sz w:val="20"/>
          <w:szCs w:val="20"/>
          <w:lang w:eastAsia="es-PE"/>
        </w:rPr>
      </w:pPr>
      <w:r w:rsidRPr="00990CB0">
        <w:rPr>
          <w:rFonts w:ascii="Arial" w:eastAsia="Calibri" w:hAnsi="Arial" w:cs="Arial"/>
          <w:sz w:val="20"/>
          <w:szCs w:val="20"/>
          <w:lang w:eastAsia="es-PE"/>
        </w:rPr>
        <w:t>Según un reciente estudio de Valdés, Basombrío y Vera (2019)</w:t>
      </w:r>
      <w:r w:rsidRPr="00990CB0">
        <w:rPr>
          <w:rFonts w:ascii="Arial" w:eastAsia="Calibri" w:hAnsi="Arial" w:cs="Arial"/>
          <w:sz w:val="20"/>
          <w:szCs w:val="20"/>
          <w:vertAlign w:val="superscript"/>
          <w:lang w:eastAsia="es-PE"/>
        </w:rPr>
        <w:footnoteReference w:id="7"/>
      </w:r>
      <w:r w:rsidRPr="00990CB0">
        <w:rPr>
          <w:rFonts w:ascii="Arial" w:eastAsia="Calibri" w:hAnsi="Arial" w:cs="Arial"/>
          <w:sz w:val="20"/>
          <w:szCs w:val="20"/>
          <w:lang w:eastAsia="es-PE"/>
        </w:rPr>
        <w:t xml:space="preserve"> se identificó que en las zonas con presencia de minería no formal también se encuentra el delito de lavado de activos. El informe revela que al no poder justificar las ganancias generadas por </w:t>
      </w:r>
      <w:proofErr w:type="gramStart"/>
      <w:r w:rsidRPr="00990CB0">
        <w:rPr>
          <w:rFonts w:ascii="Arial" w:eastAsia="Calibri" w:hAnsi="Arial" w:cs="Arial"/>
          <w:sz w:val="20"/>
          <w:szCs w:val="20"/>
          <w:lang w:eastAsia="es-PE"/>
        </w:rPr>
        <w:t>ésta</w:t>
      </w:r>
      <w:proofErr w:type="gramEnd"/>
      <w:r w:rsidRPr="00990CB0">
        <w:rPr>
          <w:rFonts w:ascii="Arial" w:eastAsia="Calibri" w:hAnsi="Arial" w:cs="Arial"/>
          <w:sz w:val="20"/>
          <w:szCs w:val="20"/>
          <w:lang w:eastAsia="es-PE"/>
        </w:rPr>
        <w:t xml:space="preserve"> actividad, se han creado empresas fachadas donde se mezclan las ganancias de actividades ilícitas con fondos legítimos. Estas empresas ofrecen bienes y servicios muy por debajo de su precio real, lo que genera graves efectos como la distorsión de los mercados financieros y la destrucción de la económica real.</w:t>
      </w:r>
    </w:p>
    <w:p w14:paraId="62503E09" w14:textId="77777777" w:rsidR="00287F58" w:rsidRPr="00990CB0" w:rsidRDefault="00287F58" w:rsidP="00E74CA5">
      <w:pPr>
        <w:spacing w:after="0" w:line="240" w:lineRule="auto"/>
        <w:jc w:val="center"/>
        <w:rPr>
          <w:rFonts w:ascii="Arial" w:eastAsia="Calibri" w:hAnsi="Arial" w:cs="Arial"/>
          <w:i/>
          <w:iCs/>
          <w:sz w:val="20"/>
          <w:szCs w:val="20"/>
          <w:lang w:eastAsia="es-PE"/>
        </w:rPr>
      </w:pPr>
    </w:p>
    <w:p w14:paraId="33278617" w14:textId="06360AFD" w:rsidR="00A039F9" w:rsidRPr="00990CB0" w:rsidRDefault="00A039F9" w:rsidP="00E74CA5">
      <w:pPr>
        <w:spacing w:after="0" w:line="240" w:lineRule="auto"/>
        <w:jc w:val="center"/>
        <w:rPr>
          <w:rFonts w:ascii="Arial" w:eastAsia="Calibri" w:hAnsi="Arial" w:cs="Arial"/>
          <w:i/>
          <w:iCs/>
          <w:sz w:val="20"/>
          <w:szCs w:val="20"/>
          <w:lang w:eastAsia="es-PE"/>
        </w:rPr>
      </w:pPr>
      <w:r w:rsidRPr="00990CB0">
        <w:rPr>
          <w:rFonts w:ascii="Arial" w:eastAsia="Calibri" w:hAnsi="Arial" w:cs="Arial"/>
          <w:i/>
          <w:iCs/>
          <w:sz w:val="20"/>
          <w:szCs w:val="20"/>
          <w:lang w:eastAsia="es-PE"/>
        </w:rPr>
        <w:t>Tabla 1. Monto involucrado en los informes de Inteligencia Financiera por delito precedente (enero de 2010 a julio de 2019)</w:t>
      </w:r>
    </w:p>
    <w:tbl>
      <w:tblPr>
        <w:tblStyle w:val="Tabladecuadrcula41"/>
        <w:tblW w:w="0" w:type="auto"/>
        <w:tblLook w:val="04A0" w:firstRow="1" w:lastRow="0" w:firstColumn="1" w:lastColumn="0" w:noHBand="0" w:noVBand="1"/>
      </w:tblPr>
      <w:tblGrid>
        <w:gridCol w:w="3002"/>
        <w:gridCol w:w="1176"/>
        <w:gridCol w:w="1842"/>
        <w:gridCol w:w="879"/>
        <w:gridCol w:w="1595"/>
      </w:tblGrid>
      <w:tr w:rsidR="00990CB0" w:rsidRPr="00990CB0" w14:paraId="1C4C2DB9" w14:textId="77777777" w:rsidTr="00C81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E4FFD45" w14:textId="77777777" w:rsidR="00A039F9" w:rsidRPr="00990CB0" w:rsidRDefault="00A039F9" w:rsidP="00E74CA5">
            <w:pPr>
              <w:jc w:val="center"/>
              <w:rPr>
                <w:rFonts w:ascii="Arial" w:eastAsia="Cambria" w:hAnsi="Arial" w:cs="Arial"/>
                <w:color w:val="auto"/>
                <w:sz w:val="20"/>
                <w:szCs w:val="20"/>
              </w:rPr>
            </w:pPr>
            <w:r w:rsidRPr="00990CB0">
              <w:rPr>
                <w:rFonts w:ascii="Arial" w:eastAsia="Cambria" w:hAnsi="Arial" w:cs="Arial"/>
                <w:color w:val="auto"/>
                <w:sz w:val="20"/>
                <w:szCs w:val="20"/>
              </w:rPr>
              <w:t>Posible delito precedente</w:t>
            </w:r>
          </w:p>
        </w:tc>
        <w:tc>
          <w:tcPr>
            <w:tcW w:w="3260" w:type="dxa"/>
            <w:gridSpan w:val="2"/>
          </w:tcPr>
          <w:p w14:paraId="2DB3FC89" w14:textId="77777777" w:rsidR="00A039F9" w:rsidRPr="00990CB0" w:rsidRDefault="00A039F9" w:rsidP="00E74CA5">
            <w:pPr>
              <w:jc w:val="center"/>
              <w:cnfStyle w:val="100000000000" w:firstRow="1" w:lastRow="0" w:firstColumn="0" w:lastColumn="0" w:oddVBand="0" w:evenVBand="0" w:oddHBand="0" w:evenHBand="0" w:firstRowFirstColumn="0" w:firstRowLastColumn="0" w:lastRowFirstColumn="0" w:lastRowLastColumn="0"/>
              <w:rPr>
                <w:rFonts w:ascii="Arial" w:eastAsia="Cambria" w:hAnsi="Arial" w:cs="Arial"/>
                <w:color w:val="auto"/>
                <w:sz w:val="20"/>
                <w:szCs w:val="20"/>
              </w:rPr>
            </w:pPr>
            <w:r w:rsidRPr="00990CB0">
              <w:rPr>
                <w:rFonts w:ascii="Arial" w:eastAsia="Cambria" w:hAnsi="Arial" w:cs="Arial"/>
                <w:color w:val="auto"/>
                <w:sz w:val="20"/>
                <w:szCs w:val="20"/>
              </w:rPr>
              <w:t xml:space="preserve">Acumulación (enero 2010 – </w:t>
            </w:r>
            <w:proofErr w:type="spellStart"/>
            <w:r w:rsidRPr="00990CB0">
              <w:rPr>
                <w:rFonts w:ascii="Arial" w:eastAsia="Cambria" w:hAnsi="Arial" w:cs="Arial"/>
                <w:color w:val="auto"/>
                <w:sz w:val="20"/>
                <w:szCs w:val="20"/>
              </w:rPr>
              <w:t>juluo</w:t>
            </w:r>
            <w:proofErr w:type="spellEnd"/>
            <w:r w:rsidRPr="00990CB0">
              <w:rPr>
                <w:rFonts w:ascii="Arial" w:eastAsia="Cambria" w:hAnsi="Arial" w:cs="Arial"/>
                <w:color w:val="auto"/>
                <w:sz w:val="20"/>
                <w:szCs w:val="20"/>
              </w:rPr>
              <w:t xml:space="preserve"> 2019)</w:t>
            </w:r>
          </w:p>
        </w:tc>
        <w:tc>
          <w:tcPr>
            <w:tcW w:w="2645" w:type="dxa"/>
            <w:gridSpan w:val="2"/>
          </w:tcPr>
          <w:p w14:paraId="6CEBDDA5" w14:textId="77777777" w:rsidR="00A039F9" w:rsidRPr="00990CB0" w:rsidRDefault="00A039F9" w:rsidP="00E74CA5">
            <w:pPr>
              <w:jc w:val="center"/>
              <w:cnfStyle w:val="100000000000" w:firstRow="1" w:lastRow="0" w:firstColumn="0" w:lastColumn="0" w:oddVBand="0" w:evenVBand="0" w:oddHBand="0" w:evenHBand="0" w:firstRowFirstColumn="0" w:firstRowLastColumn="0" w:lastRowFirstColumn="0" w:lastRowLastColumn="0"/>
              <w:rPr>
                <w:rFonts w:ascii="Arial" w:eastAsia="Cambria" w:hAnsi="Arial" w:cs="Arial"/>
                <w:color w:val="auto"/>
                <w:sz w:val="20"/>
                <w:szCs w:val="20"/>
              </w:rPr>
            </w:pPr>
            <w:r w:rsidRPr="00990CB0">
              <w:rPr>
                <w:rFonts w:ascii="Arial" w:eastAsia="Cambria" w:hAnsi="Arial" w:cs="Arial"/>
                <w:color w:val="auto"/>
                <w:sz w:val="20"/>
                <w:szCs w:val="20"/>
              </w:rPr>
              <w:t xml:space="preserve">12 meses </w:t>
            </w:r>
          </w:p>
          <w:p w14:paraId="2FA306E4" w14:textId="77777777" w:rsidR="00A039F9" w:rsidRPr="00990CB0" w:rsidRDefault="00A039F9" w:rsidP="00E74CA5">
            <w:pPr>
              <w:jc w:val="center"/>
              <w:cnfStyle w:val="100000000000" w:firstRow="1" w:lastRow="0" w:firstColumn="0" w:lastColumn="0" w:oddVBand="0" w:evenVBand="0" w:oddHBand="0" w:evenHBand="0" w:firstRowFirstColumn="0" w:firstRowLastColumn="0" w:lastRowFirstColumn="0" w:lastRowLastColumn="0"/>
              <w:rPr>
                <w:rFonts w:ascii="Arial" w:eastAsia="Cambria" w:hAnsi="Arial" w:cs="Arial"/>
                <w:color w:val="auto"/>
                <w:sz w:val="20"/>
                <w:szCs w:val="20"/>
              </w:rPr>
            </w:pPr>
            <w:r w:rsidRPr="00990CB0">
              <w:rPr>
                <w:rFonts w:ascii="Arial" w:eastAsia="Cambria" w:hAnsi="Arial" w:cs="Arial"/>
                <w:color w:val="auto"/>
                <w:sz w:val="20"/>
                <w:szCs w:val="20"/>
              </w:rPr>
              <w:t>(agosto 2018 a julio 2019)</w:t>
            </w:r>
          </w:p>
        </w:tc>
      </w:tr>
      <w:tr w:rsidR="00990CB0" w:rsidRPr="00990CB0" w14:paraId="33EC60C0" w14:textId="77777777" w:rsidTr="00C81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0000" w:themeFill="text1"/>
          </w:tcPr>
          <w:p w14:paraId="3182E454" w14:textId="77777777" w:rsidR="00A039F9" w:rsidRPr="00990CB0" w:rsidRDefault="00A039F9" w:rsidP="00E74CA5">
            <w:pPr>
              <w:rPr>
                <w:rFonts w:ascii="Arial" w:eastAsia="Cambria" w:hAnsi="Arial" w:cs="Arial"/>
                <w:sz w:val="20"/>
                <w:szCs w:val="20"/>
              </w:rPr>
            </w:pPr>
          </w:p>
        </w:tc>
        <w:tc>
          <w:tcPr>
            <w:tcW w:w="1276" w:type="dxa"/>
            <w:shd w:val="clear" w:color="auto" w:fill="000000" w:themeFill="text1"/>
          </w:tcPr>
          <w:p w14:paraId="057E475B" w14:textId="77777777" w:rsidR="00A039F9" w:rsidRPr="00990CB0" w:rsidRDefault="00A039F9" w:rsidP="00E74CA5">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Nº de IIF</w:t>
            </w:r>
          </w:p>
        </w:tc>
        <w:tc>
          <w:tcPr>
            <w:tcW w:w="1984" w:type="dxa"/>
            <w:shd w:val="clear" w:color="auto" w:fill="000000" w:themeFill="text1"/>
          </w:tcPr>
          <w:p w14:paraId="5884238E" w14:textId="77777777" w:rsidR="00A039F9" w:rsidRPr="00990CB0" w:rsidRDefault="00A039F9" w:rsidP="00E74CA5">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proofErr w:type="gramStart"/>
            <w:r w:rsidRPr="00990CB0">
              <w:rPr>
                <w:rFonts w:ascii="Arial" w:eastAsia="Cambria" w:hAnsi="Arial" w:cs="Arial"/>
                <w:sz w:val="20"/>
                <w:szCs w:val="20"/>
              </w:rPr>
              <w:t>Total</w:t>
            </w:r>
            <w:proofErr w:type="gramEnd"/>
            <w:r w:rsidRPr="00990CB0">
              <w:rPr>
                <w:rFonts w:ascii="Arial" w:eastAsia="Cambria" w:hAnsi="Arial" w:cs="Arial"/>
                <w:sz w:val="20"/>
                <w:szCs w:val="20"/>
              </w:rPr>
              <w:t xml:space="preserve"> millones USD</w:t>
            </w:r>
          </w:p>
        </w:tc>
        <w:tc>
          <w:tcPr>
            <w:tcW w:w="947" w:type="dxa"/>
            <w:shd w:val="clear" w:color="auto" w:fill="000000" w:themeFill="text1"/>
          </w:tcPr>
          <w:p w14:paraId="6054F2F3" w14:textId="77777777" w:rsidR="00A039F9" w:rsidRPr="00990CB0" w:rsidRDefault="00A039F9" w:rsidP="00E74CA5">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Nº de IIF</w:t>
            </w:r>
          </w:p>
        </w:tc>
        <w:tc>
          <w:tcPr>
            <w:tcW w:w="1698" w:type="dxa"/>
            <w:shd w:val="clear" w:color="auto" w:fill="000000" w:themeFill="text1"/>
          </w:tcPr>
          <w:p w14:paraId="35F9317D" w14:textId="77777777" w:rsidR="00A039F9" w:rsidRPr="00990CB0" w:rsidRDefault="00A039F9" w:rsidP="00E74CA5">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proofErr w:type="gramStart"/>
            <w:r w:rsidRPr="00990CB0">
              <w:rPr>
                <w:rFonts w:ascii="Arial" w:eastAsia="Cambria" w:hAnsi="Arial" w:cs="Arial"/>
                <w:sz w:val="20"/>
                <w:szCs w:val="20"/>
              </w:rPr>
              <w:t>Total</w:t>
            </w:r>
            <w:proofErr w:type="gramEnd"/>
            <w:r w:rsidRPr="00990CB0">
              <w:rPr>
                <w:rFonts w:ascii="Arial" w:eastAsia="Cambria" w:hAnsi="Arial" w:cs="Arial"/>
                <w:sz w:val="20"/>
                <w:szCs w:val="20"/>
              </w:rPr>
              <w:t xml:space="preserve"> millones USD</w:t>
            </w:r>
          </w:p>
        </w:tc>
      </w:tr>
      <w:tr w:rsidR="00990CB0" w:rsidRPr="00990CB0" w14:paraId="3B5D9D69" w14:textId="77777777" w:rsidTr="00C815D6">
        <w:tc>
          <w:tcPr>
            <w:cnfStyle w:val="001000000000" w:firstRow="0" w:lastRow="0" w:firstColumn="1" w:lastColumn="0" w:oddVBand="0" w:evenVBand="0" w:oddHBand="0" w:evenHBand="0" w:firstRowFirstColumn="0" w:firstRowLastColumn="0" w:lastRowFirstColumn="0" w:lastRowLastColumn="0"/>
            <w:tcW w:w="3114" w:type="dxa"/>
          </w:tcPr>
          <w:p w14:paraId="0E488583"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Minería ilegal</w:t>
            </w:r>
          </w:p>
        </w:tc>
        <w:tc>
          <w:tcPr>
            <w:tcW w:w="1276" w:type="dxa"/>
          </w:tcPr>
          <w:p w14:paraId="0F36AB50"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49</w:t>
            </w:r>
          </w:p>
        </w:tc>
        <w:tc>
          <w:tcPr>
            <w:tcW w:w="1984" w:type="dxa"/>
          </w:tcPr>
          <w:p w14:paraId="3F56E2CC"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6706</w:t>
            </w:r>
          </w:p>
        </w:tc>
        <w:tc>
          <w:tcPr>
            <w:tcW w:w="947" w:type="dxa"/>
          </w:tcPr>
          <w:p w14:paraId="03477192"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6</w:t>
            </w:r>
          </w:p>
        </w:tc>
        <w:tc>
          <w:tcPr>
            <w:tcW w:w="1698" w:type="dxa"/>
          </w:tcPr>
          <w:p w14:paraId="66DCB020"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2217</w:t>
            </w:r>
          </w:p>
        </w:tc>
      </w:tr>
      <w:tr w:rsidR="00990CB0" w:rsidRPr="00990CB0" w14:paraId="45741D84" w14:textId="77777777" w:rsidTr="00C81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16C9133"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Tráfico de drogas</w:t>
            </w:r>
          </w:p>
        </w:tc>
        <w:tc>
          <w:tcPr>
            <w:tcW w:w="1276" w:type="dxa"/>
          </w:tcPr>
          <w:p w14:paraId="0D0B1305"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176</w:t>
            </w:r>
          </w:p>
        </w:tc>
        <w:tc>
          <w:tcPr>
            <w:tcW w:w="1984" w:type="dxa"/>
          </w:tcPr>
          <w:p w14:paraId="7CE550D9"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3226</w:t>
            </w:r>
          </w:p>
        </w:tc>
        <w:tc>
          <w:tcPr>
            <w:tcW w:w="947" w:type="dxa"/>
          </w:tcPr>
          <w:p w14:paraId="045B9138"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w:t>
            </w:r>
          </w:p>
        </w:tc>
        <w:tc>
          <w:tcPr>
            <w:tcW w:w="1698" w:type="dxa"/>
          </w:tcPr>
          <w:p w14:paraId="47DEB289"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23</w:t>
            </w:r>
          </w:p>
        </w:tc>
      </w:tr>
      <w:tr w:rsidR="00990CB0" w:rsidRPr="00990CB0" w14:paraId="7E024F64" w14:textId="77777777" w:rsidTr="00C815D6">
        <w:tc>
          <w:tcPr>
            <w:cnfStyle w:val="001000000000" w:firstRow="0" w:lastRow="0" w:firstColumn="1" w:lastColumn="0" w:oddVBand="0" w:evenVBand="0" w:oddHBand="0" w:evenHBand="0" w:firstRowFirstColumn="0" w:firstRowLastColumn="0" w:lastRowFirstColumn="0" w:lastRowLastColumn="0"/>
            <w:tcW w:w="3114" w:type="dxa"/>
          </w:tcPr>
          <w:p w14:paraId="129D3270"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Defraudación tributaria</w:t>
            </w:r>
          </w:p>
        </w:tc>
        <w:tc>
          <w:tcPr>
            <w:tcW w:w="1276" w:type="dxa"/>
          </w:tcPr>
          <w:p w14:paraId="33A4B23A"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45</w:t>
            </w:r>
          </w:p>
        </w:tc>
        <w:tc>
          <w:tcPr>
            <w:tcW w:w="1984" w:type="dxa"/>
          </w:tcPr>
          <w:p w14:paraId="5056361C"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1449</w:t>
            </w:r>
          </w:p>
        </w:tc>
        <w:tc>
          <w:tcPr>
            <w:tcW w:w="947" w:type="dxa"/>
          </w:tcPr>
          <w:p w14:paraId="16669E40"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12</w:t>
            </w:r>
          </w:p>
        </w:tc>
        <w:tc>
          <w:tcPr>
            <w:tcW w:w="1698" w:type="dxa"/>
          </w:tcPr>
          <w:p w14:paraId="79D1BB10"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867</w:t>
            </w:r>
          </w:p>
        </w:tc>
      </w:tr>
      <w:tr w:rsidR="00990CB0" w:rsidRPr="00990CB0" w14:paraId="31C1216C" w14:textId="77777777" w:rsidTr="00C81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ACB5D3"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Delitos contra la administración (corrupción de funcionarios y enriquecimiento ilícito)</w:t>
            </w:r>
          </w:p>
        </w:tc>
        <w:tc>
          <w:tcPr>
            <w:tcW w:w="1276" w:type="dxa"/>
          </w:tcPr>
          <w:p w14:paraId="31C83B4A"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176</w:t>
            </w:r>
          </w:p>
        </w:tc>
        <w:tc>
          <w:tcPr>
            <w:tcW w:w="1984" w:type="dxa"/>
          </w:tcPr>
          <w:p w14:paraId="69976557"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1402</w:t>
            </w:r>
          </w:p>
        </w:tc>
        <w:tc>
          <w:tcPr>
            <w:tcW w:w="947" w:type="dxa"/>
          </w:tcPr>
          <w:p w14:paraId="7017A42D"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26</w:t>
            </w:r>
          </w:p>
        </w:tc>
        <w:tc>
          <w:tcPr>
            <w:tcW w:w="1698" w:type="dxa"/>
          </w:tcPr>
          <w:p w14:paraId="56024FED"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67</w:t>
            </w:r>
          </w:p>
        </w:tc>
      </w:tr>
      <w:tr w:rsidR="00990CB0" w:rsidRPr="00990CB0" w14:paraId="37F5D1AA" w14:textId="77777777" w:rsidTr="00C815D6">
        <w:tc>
          <w:tcPr>
            <w:cnfStyle w:val="001000000000" w:firstRow="0" w:lastRow="0" w:firstColumn="1" w:lastColumn="0" w:oddVBand="0" w:evenVBand="0" w:oddHBand="0" w:evenHBand="0" w:firstRowFirstColumn="0" w:firstRowLastColumn="0" w:lastRowFirstColumn="0" w:lastRowLastColumn="0"/>
            <w:tcW w:w="3114" w:type="dxa"/>
          </w:tcPr>
          <w:p w14:paraId="592BFC68"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Defraudación de rentas de aduanas/contrabando</w:t>
            </w:r>
          </w:p>
        </w:tc>
        <w:tc>
          <w:tcPr>
            <w:tcW w:w="1276" w:type="dxa"/>
          </w:tcPr>
          <w:p w14:paraId="077F0943"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45</w:t>
            </w:r>
          </w:p>
        </w:tc>
        <w:tc>
          <w:tcPr>
            <w:tcW w:w="1984" w:type="dxa"/>
          </w:tcPr>
          <w:p w14:paraId="2F92FCE6"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504</w:t>
            </w:r>
          </w:p>
        </w:tc>
        <w:tc>
          <w:tcPr>
            <w:tcW w:w="947" w:type="dxa"/>
          </w:tcPr>
          <w:p w14:paraId="34FCC7D1"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6</w:t>
            </w:r>
          </w:p>
        </w:tc>
        <w:tc>
          <w:tcPr>
            <w:tcW w:w="1698" w:type="dxa"/>
          </w:tcPr>
          <w:p w14:paraId="608A629C"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74</w:t>
            </w:r>
          </w:p>
        </w:tc>
      </w:tr>
      <w:tr w:rsidR="00990CB0" w:rsidRPr="00990CB0" w14:paraId="6D387BAB" w14:textId="77777777" w:rsidTr="00C81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C793C2C"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Delitos contra el orden financiero y monetario</w:t>
            </w:r>
          </w:p>
        </w:tc>
        <w:tc>
          <w:tcPr>
            <w:tcW w:w="1276" w:type="dxa"/>
          </w:tcPr>
          <w:p w14:paraId="020666E3"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14</w:t>
            </w:r>
          </w:p>
        </w:tc>
        <w:tc>
          <w:tcPr>
            <w:tcW w:w="1984" w:type="dxa"/>
          </w:tcPr>
          <w:p w14:paraId="4AA5D287"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425</w:t>
            </w:r>
          </w:p>
        </w:tc>
        <w:tc>
          <w:tcPr>
            <w:tcW w:w="947" w:type="dxa"/>
          </w:tcPr>
          <w:p w14:paraId="568A6A7F"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2</w:t>
            </w:r>
          </w:p>
        </w:tc>
        <w:tc>
          <w:tcPr>
            <w:tcW w:w="1698" w:type="dxa"/>
          </w:tcPr>
          <w:p w14:paraId="172478BC"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w:t>
            </w:r>
          </w:p>
        </w:tc>
      </w:tr>
      <w:tr w:rsidR="00990CB0" w:rsidRPr="00990CB0" w14:paraId="46FE515A" w14:textId="77777777" w:rsidTr="00C815D6">
        <w:tc>
          <w:tcPr>
            <w:cnfStyle w:val="001000000000" w:firstRow="0" w:lastRow="0" w:firstColumn="1" w:lastColumn="0" w:oddVBand="0" w:evenVBand="0" w:oddHBand="0" w:evenHBand="0" w:firstRowFirstColumn="0" w:firstRowLastColumn="0" w:lastRowFirstColumn="0" w:lastRowLastColumn="0"/>
            <w:tcW w:w="3114" w:type="dxa"/>
          </w:tcPr>
          <w:p w14:paraId="2AED31E1"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Delitos contra el patrimonio</w:t>
            </w:r>
          </w:p>
        </w:tc>
        <w:tc>
          <w:tcPr>
            <w:tcW w:w="1276" w:type="dxa"/>
          </w:tcPr>
          <w:p w14:paraId="689F47CC"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42</w:t>
            </w:r>
          </w:p>
        </w:tc>
        <w:tc>
          <w:tcPr>
            <w:tcW w:w="1984" w:type="dxa"/>
          </w:tcPr>
          <w:p w14:paraId="41924CC1"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163</w:t>
            </w:r>
          </w:p>
        </w:tc>
        <w:tc>
          <w:tcPr>
            <w:tcW w:w="947" w:type="dxa"/>
          </w:tcPr>
          <w:p w14:paraId="24975451"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6</w:t>
            </w:r>
          </w:p>
        </w:tc>
        <w:tc>
          <w:tcPr>
            <w:tcW w:w="1698" w:type="dxa"/>
          </w:tcPr>
          <w:p w14:paraId="5C8A76D9"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6</w:t>
            </w:r>
          </w:p>
        </w:tc>
      </w:tr>
      <w:tr w:rsidR="00990CB0" w:rsidRPr="00990CB0" w14:paraId="73B0BF8A" w14:textId="77777777" w:rsidTr="00C81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583C077"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Proxenetismo</w:t>
            </w:r>
          </w:p>
        </w:tc>
        <w:tc>
          <w:tcPr>
            <w:tcW w:w="1276" w:type="dxa"/>
          </w:tcPr>
          <w:p w14:paraId="4A7B55BE"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10</w:t>
            </w:r>
          </w:p>
        </w:tc>
        <w:tc>
          <w:tcPr>
            <w:tcW w:w="1984" w:type="dxa"/>
          </w:tcPr>
          <w:p w14:paraId="789542EB"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27</w:t>
            </w:r>
          </w:p>
        </w:tc>
        <w:tc>
          <w:tcPr>
            <w:tcW w:w="947" w:type="dxa"/>
          </w:tcPr>
          <w:p w14:paraId="11353CF7"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w:t>
            </w:r>
          </w:p>
        </w:tc>
        <w:tc>
          <w:tcPr>
            <w:tcW w:w="1698" w:type="dxa"/>
          </w:tcPr>
          <w:p w14:paraId="4270927E"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w:t>
            </w:r>
          </w:p>
        </w:tc>
      </w:tr>
      <w:tr w:rsidR="00990CB0" w:rsidRPr="00990CB0" w14:paraId="7446EF6F" w14:textId="77777777" w:rsidTr="00C815D6">
        <w:tc>
          <w:tcPr>
            <w:cnfStyle w:val="001000000000" w:firstRow="0" w:lastRow="0" w:firstColumn="1" w:lastColumn="0" w:oddVBand="0" w:evenVBand="0" w:oddHBand="0" w:evenHBand="0" w:firstRowFirstColumn="0" w:firstRowLastColumn="0" w:lastRowFirstColumn="0" w:lastRowLastColumn="0"/>
            <w:tcW w:w="3114" w:type="dxa"/>
          </w:tcPr>
          <w:p w14:paraId="5EB1142E"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Financiamiento del terrorismo</w:t>
            </w:r>
          </w:p>
        </w:tc>
        <w:tc>
          <w:tcPr>
            <w:tcW w:w="1276" w:type="dxa"/>
          </w:tcPr>
          <w:p w14:paraId="4A601D13"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10</w:t>
            </w:r>
          </w:p>
        </w:tc>
        <w:tc>
          <w:tcPr>
            <w:tcW w:w="1984" w:type="dxa"/>
          </w:tcPr>
          <w:p w14:paraId="64483F1C"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3</w:t>
            </w:r>
          </w:p>
        </w:tc>
        <w:tc>
          <w:tcPr>
            <w:tcW w:w="947" w:type="dxa"/>
          </w:tcPr>
          <w:p w14:paraId="42AA13E0"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w:t>
            </w:r>
          </w:p>
        </w:tc>
        <w:tc>
          <w:tcPr>
            <w:tcW w:w="1698" w:type="dxa"/>
          </w:tcPr>
          <w:p w14:paraId="11C95823"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0.3</w:t>
            </w:r>
          </w:p>
        </w:tc>
      </w:tr>
      <w:tr w:rsidR="00990CB0" w:rsidRPr="00990CB0" w14:paraId="042941D9" w14:textId="77777777" w:rsidTr="00C81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05C626B"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Trata de personas</w:t>
            </w:r>
          </w:p>
        </w:tc>
        <w:tc>
          <w:tcPr>
            <w:tcW w:w="1276" w:type="dxa"/>
          </w:tcPr>
          <w:p w14:paraId="53388EB1"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5</w:t>
            </w:r>
          </w:p>
        </w:tc>
        <w:tc>
          <w:tcPr>
            <w:tcW w:w="1984" w:type="dxa"/>
          </w:tcPr>
          <w:p w14:paraId="3BC704C0"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3</w:t>
            </w:r>
          </w:p>
        </w:tc>
        <w:tc>
          <w:tcPr>
            <w:tcW w:w="947" w:type="dxa"/>
          </w:tcPr>
          <w:p w14:paraId="5D0E1B88"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w:t>
            </w:r>
          </w:p>
        </w:tc>
        <w:tc>
          <w:tcPr>
            <w:tcW w:w="1698" w:type="dxa"/>
          </w:tcPr>
          <w:p w14:paraId="01430BD3"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w:t>
            </w:r>
          </w:p>
        </w:tc>
      </w:tr>
      <w:tr w:rsidR="00990CB0" w:rsidRPr="00990CB0" w14:paraId="55747393" w14:textId="77777777" w:rsidTr="00C815D6">
        <w:tc>
          <w:tcPr>
            <w:cnfStyle w:val="001000000000" w:firstRow="0" w:lastRow="0" w:firstColumn="1" w:lastColumn="0" w:oddVBand="0" w:evenVBand="0" w:oddHBand="0" w:evenHBand="0" w:firstRowFirstColumn="0" w:firstRowLastColumn="0" w:lastRowFirstColumn="0" w:lastRowLastColumn="0"/>
            <w:tcW w:w="3114" w:type="dxa"/>
          </w:tcPr>
          <w:p w14:paraId="3DCFCB0B"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Otros</w:t>
            </w:r>
          </w:p>
        </w:tc>
        <w:tc>
          <w:tcPr>
            <w:tcW w:w="1276" w:type="dxa"/>
          </w:tcPr>
          <w:p w14:paraId="67AD4695"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142</w:t>
            </w:r>
          </w:p>
        </w:tc>
        <w:tc>
          <w:tcPr>
            <w:tcW w:w="1984" w:type="dxa"/>
          </w:tcPr>
          <w:p w14:paraId="7D79BE0F"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901</w:t>
            </w:r>
          </w:p>
        </w:tc>
        <w:tc>
          <w:tcPr>
            <w:tcW w:w="947" w:type="dxa"/>
          </w:tcPr>
          <w:p w14:paraId="427D2FEC"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5</w:t>
            </w:r>
          </w:p>
        </w:tc>
        <w:tc>
          <w:tcPr>
            <w:tcW w:w="1698" w:type="dxa"/>
          </w:tcPr>
          <w:p w14:paraId="57A44EEB" w14:textId="77777777" w:rsidR="00A039F9" w:rsidRPr="00990CB0" w:rsidRDefault="00A039F9" w:rsidP="00E74CA5">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9</w:t>
            </w:r>
          </w:p>
        </w:tc>
      </w:tr>
      <w:tr w:rsidR="00990CB0" w:rsidRPr="00990CB0" w14:paraId="1BCCB290" w14:textId="77777777" w:rsidTr="00C81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F829EF3" w14:textId="77777777" w:rsidR="00A039F9" w:rsidRPr="00990CB0" w:rsidRDefault="00A039F9" w:rsidP="00E74CA5">
            <w:pPr>
              <w:rPr>
                <w:rFonts w:ascii="Arial" w:eastAsia="Cambria" w:hAnsi="Arial" w:cs="Arial"/>
                <w:sz w:val="20"/>
                <w:szCs w:val="20"/>
              </w:rPr>
            </w:pPr>
            <w:r w:rsidRPr="00990CB0">
              <w:rPr>
                <w:rFonts w:ascii="Arial" w:eastAsia="Cambria" w:hAnsi="Arial" w:cs="Arial"/>
                <w:sz w:val="20"/>
                <w:szCs w:val="20"/>
              </w:rPr>
              <w:t>TOTAL</w:t>
            </w:r>
          </w:p>
        </w:tc>
        <w:tc>
          <w:tcPr>
            <w:tcW w:w="1276" w:type="dxa"/>
          </w:tcPr>
          <w:p w14:paraId="0118B43C"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714</w:t>
            </w:r>
          </w:p>
        </w:tc>
        <w:tc>
          <w:tcPr>
            <w:tcW w:w="1984" w:type="dxa"/>
          </w:tcPr>
          <w:p w14:paraId="2BC72143"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14808</w:t>
            </w:r>
          </w:p>
        </w:tc>
        <w:tc>
          <w:tcPr>
            <w:tcW w:w="947" w:type="dxa"/>
          </w:tcPr>
          <w:p w14:paraId="1153DB6A"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65</w:t>
            </w:r>
          </w:p>
        </w:tc>
        <w:tc>
          <w:tcPr>
            <w:tcW w:w="1698" w:type="dxa"/>
          </w:tcPr>
          <w:p w14:paraId="591528D7" w14:textId="77777777" w:rsidR="00A039F9" w:rsidRPr="00990CB0" w:rsidRDefault="00A039F9" w:rsidP="00E74CA5">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990CB0">
              <w:rPr>
                <w:rFonts w:ascii="Arial" w:eastAsia="Cambria" w:hAnsi="Arial" w:cs="Arial"/>
                <w:sz w:val="20"/>
                <w:szCs w:val="20"/>
              </w:rPr>
              <w:t>3263</w:t>
            </w:r>
          </w:p>
        </w:tc>
      </w:tr>
    </w:tbl>
    <w:p w14:paraId="16EAF011" w14:textId="77777777" w:rsidR="00A039F9" w:rsidRPr="00990CB0" w:rsidRDefault="00A039F9" w:rsidP="00E74CA5">
      <w:pPr>
        <w:spacing w:after="0" w:line="240" w:lineRule="auto"/>
        <w:ind w:left="720"/>
        <w:contextualSpacing/>
        <w:jc w:val="center"/>
        <w:rPr>
          <w:rFonts w:ascii="Arial" w:eastAsia="Cambria" w:hAnsi="Arial" w:cs="Arial"/>
          <w:sz w:val="20"/>
          <w:szCs w:val="20"/>
        </w:rPr>
      </w:pPr>
      <w:r w:rsidRPr="00990CB0">
        <w:rPr>
          <w:rFonts w:ascii="Arial" w:eastAsia="Cambria" w:hAnsi="Arial" w:cs="Arial"/>
          <w:sz w:val="20"/>
          <w:szCs w:val="20"/>
        </w:rPr>
        <w:t>Fuente. Valdés, Basombrío y Vera, 2019, SBS, 2019.</w:t>
      </w:r>
    </w:p>
    <w:p w14:paraId="4E088707" w14:textId="77777777" w:rsidR="00A039F9" w:rsidRPr="00990CB0" w:rsidRDefault="00A039F9" w:rsidP="00E74CA5">
      <w:pPr>
        <w:autoSpaceDE w:val="0"/>
        <w:autoSpaceDN w:val="0"/>
        <w:adjustRightInd w:val="0"/>
        <w:spacing w:after="0" w:line="240" w:lineRule="auto"/>
        <w:ind w:left="720"/>
        <w:contextualSpacing/>
        <w:jc w:val="both"/>
        <w:rPr>
          <w:rFonts w:ascii="Arial" w:eastAsia="Cambria" w:hAnsi="Arial" w:cs="Arial"/>
          <w:noProof/>
          <w:sz w:val="20"/>
          <w:szCs w:val="20"/>
        </w:rPr>
      </w:pPr>
    </w:p>
    <w:p w14:paraId="383102FE" w14:textId="77777777" w:rsidR="00A039F9" w:rsidRPr="00990CB0" w:rsidRDefault="00A039F9" w:rsidP="00E74CA5">
      <w:pPr>
        <w:spacing w:after="0" w:line="240" w:lineRule="auto"/>
        <w:ind w:left="426"/>
        <w:jc w:val="both"/>
        <w:rPr>
          <w:rFonts w:ascii="Arial" w:eastAsia="Calibri" w:hAnsi="Arial" w:cs="Arial"/>
          <w:sz w:val="20"/>
          <w:szCs w:val="20"/>
          <w:lang w:eastAsia="es-PE"/>
        </w:rPr>
      </w:pPr>
      <w:r w:rsidRPr="00990CB0">
        <w:rPr>
          <w:rFonts w:ascii="Arial" w:eastAsia="Calibri" w:hAnsi="Arial" w:cs="Arial"/>
          <w:sz w:val="20"/>
          <w:szCs w:val="20"/>
          <w:lang w:eastAsia="es-PE"/>
        </w:rPr>
        <w:t>Además, el análisis de la brecha entre la exportación y la producción de oro se observa que en los últimos 10 años se ha perdido por producción no registrada (contrabando) 35 toneladas de oro al año, lo que equivale a 1,426 millones de USD. Así mismo, se dejó de recaudar más de 100 millones de USD de impuesto a la renta por año.</w:t>
      </w:r>
    </w:p>
    <w:p w14:paraId="4B4C8FE2" w14:textId="77777777" w:rsidR="00A039F9" w:rsidRPr="00990CB0" w:rsidRDefault="00A039F9" w:rsidP="00E74CA5">
      <w:pPr>
        <w:spacing w:after="0" w:line="240" w:lineRule="auto"/>
        <w:rPr>
          <w:rFonts w:ascii="Arial" w:eastAsia="Calibri" w:hAnsi="Arial" w:cs="Arial"/>
          <w:i/>
          <w:iCs/>
          <w:sz w:val="20"/>
          <w:szCs w:val="20"/>
          <w:lang w:eastAsia="es-PE"/>
        </w:rPr>
      </w:pPr>
    </w:p>
    <w:p w14:paraId="5338A120" w14:textId="3B68CCF7" w:rsidR="00A039F9" w:rsidRPr="00990CB0" w:rsidRDefault="00A039F9" w:rsidP="00E74CA5">
      <w:pPr>
        <w:spacing w:after="0" w:line="240" w:lineRule="auto"/>
        <w:rPr>
          <w:rFonts w:ascii="Arial" w:eastAsia="Calibri" w:hAnsi="Arial" w:cs="Arial"/>
          <w:i/>
          <w:iCs/>
          <w:sz w:val="20"/>
          <w:szCs w:val="20"/>
          <w:lang w:eastAsia="es-PE"/>
        </w:rPr>
      </w:pPr>
    </w:p>
    <w:p w14:paraId="3E8BF693" w14:textId="1A7F2CE3" w:rsidR="00287F58" w:rsidRPr="00990CB0" w:rsidRDefault="00287F58" w:rsidP="00E74CA5">
      <w:pPr>
        <w:spacing w:after="0" w:line="240" w:lineRule="auto"/>
        <w:rPr>
          <w:rFonts w:ascii="Arial" w:eastAsia="Calibri" w:hAnsi="Arial" w:cs="Arial"/>
          <w:i/>
          <w:iCs/>
          <w:sz w:val="20"/>
          <w:szCs w:val="20"/>
          <w:lang w:eastAsia="es-PE"/>
        </w:rPr>
      </w:pPr>
    </w:p>
    <w:p w14:paraId="1BE9BEE2" w14:textId="77777777" w:rsidR="00287F58" w:rsidRPr="00990CB0" w:rsidRDefault="00287F58" w:rsidP="00E74CA5">
      <w:pPr>
        <w:spacing w:after="0" w:line="240" w:lineRule="auto"/>
        <w:rPr>
          <w:rFonts w:ascii="Arial" w:eastAsia="Calibri" w:hAnsi="Arial" w:cs="Arial"/>
          <w:i/>
          <w:iCs/>
          <w:sz w:val="20"/>
          <w:szCs w:val="20"/>
          <w:lang w:eastAsia="es-PE"/>
        </w:rPr>
      </w:pPr>
    </w:p>
    <w:p w14:paraId="3E8A222A" w14:textId="77777777" w:rsidR="00A039F9" w:rsidRPr="00990CB0" w:rsidRDefault="00A039F9" w:rsidP="00E74CA5">
      <w:pPr>
        <w:spacing w:after="0" w:line="240" w:lineRule="auto"/>
        <w:rPr>
          <w:rFonts w:ascii="Arial" w:eastAsia="Calibri" w:hAnsi="Arial" w:cs="Arial"/>
          <w:i/>
          <w:iCs/>
          <w:sz w:val="20"/>
          <w:szCs w:val="20"/>
          <w:lang w:eastAsia="es-PE"/>
        </w:rPr>
      </w:pPr>
    </w:p>
    <w:p w14:paraId="544D816B" w14:textId="00F0AFC3" w:rsidR="00A039F9" w:rsidRPr="00990CB0" w:rsidRDefault="00A039F9" w:rsidP="00E74CA5">
      <w:pPr>
        <w:spacing w:after="0" w:line="240" w:lineRule="auto"/>
        <w:jc w:val="center"/>
        <w:rPr>
          <w:rFonts w:ascii="Arial" w:eastAsia="Calibri" w:hAnsi="Arial" w:cs="Arial"/>
          <w:i/>
          <w:iCs/>
          <w:sz w:val="20"/>
          <w:szCs w:val="20"/>
          <w:lang w:eastAsia="es-PE"/>
        </w:rPr>
      </w:pPr>
      <w:r w:rsidRPr="00990CB0">
        <w:rPr>
          <w:rFonts w:ascii="Arial" w:eastAsia="Calibri" w:hAnsi="Arial" w:cs="Arial"/>
          <w:i/>
          <w:iCs/>
          <w:sz w:val="20"/>
          <w:szCs w:val="20"/>
          <w:lang w:eastAsia="es-PE"/>
        </w:rPr>
        <w:lastRenderedPageBreak/>
        <w:t>Brecha histórica de la exportación y producción de oro 2000-2018 (Toneladas)</w:t>
      </w:r>
    </w:p>
    <w:p w14:paraId="3C6ACFBF" w14:textId="5CA84AFB" w:rsidR="00A039F9" w:rsidRPr="00990CB0" w:rsidRDefault="00D912D4" w:rsidP="00E74CA5">
      <w:pPr>
        <w:spacing w:after="0" w:line="240" w:lineRule="auto"/>
        <w:jc w:val="both"/>
        <w:rPr>
          <w:rFonts w:ascii="Arial" w:eastAsia="Calibri" w:hAnsi="Arial" w:cs="Arial"/>
          <w:sz w:val="20"/>
          <w:szCs w:val="20"/>
          <w:lang w:eastAsia="es-PE"/>
        </w:rPr>
      </w:pPr>
      <w:r w:rsidRPr="00990CB0">
        <w:rPr>
          <w:rFonts w:ascii="Arial" w:eastAsia="Calibri" w:hAnsi="Arial" w:cs="Arial"/>
          <w:noProof/>
          <w:sz w:val="20"/>
          <w:szCs w:val="20"/>
          <w:lang w:eastAsia="es-PE"/>
        </w:rPr>
        <mc:AlternateContent>
          <mc:Choice Requires="wps">
            <w:drawing>
              <wp:anchor distT="0" distB="0" distL="114300" distR="114300" simplePos="0" relativeHeight="251659264" behindDoc="0" locked="0" layoutInCell="1" allowOverlap="1" wp14:anchorId="1DB1BC1B" wp14:editId="29506BC2">
                <wp:simplePos x="0" y="0"/>
                <wp:positionH relativeFrom="column">
                  <wp:posOffset>4533265</wp:posOffset>
                </wp:positionH>
                <wp:positionV relativeFrom="paragraph">
                  <wp:posOffset>11430</wp:posOffset>
                </wp:positionV>
                <wp:extent cx="1035050" cy="457200"/>
                <wp:effectExtent l="57150" t="19050" r="69850" b="381000"/>
                <wp:wrapNone/>
                <wp:docPr id="18" name="5 Llamada rectangular redondeada"/>
                <wp:cNvGraphicFramePr/>
                <a:graphic xmlns:a="http://schemas.openxmlformats.org/drawingml/2006/main">
                  <a:graphicData uri="http://schemas.microsoft.com/office/word/2010/wordprocessingShape">
                    <wps:wsp>
                      <wps:cNvSpPr/>
                      <wps:spPr>
                        <a:xfrm>
                          <a:off x="0" y="0"/>
                          <a:ext cx="1035050" cy="457200"/>
                        </a:xfrm>
                        <a:prstGeom prst="wedgeRoundRectCallout">
                          <a:avLst>
                            <a:gd name="adj1" fmla="val 6769"/>
                            <a:gd name="adj2" fmla="val 114848"/>
                            <a:gd name="adj3" fmla="val 16667"/>
                          </a:avLst>
                        </a:prstGeom>
                        <a:solidFill>
                          <a:sysClr val="window" lastClr="FFFFFF">
                            <a:lumMod val="65000"/>
                          </a:sysClr>
                        </a:solidFill>
                        <a:ln w="9525" cap="flat" cmpd="sng" algn="ctr">
                          <a:solidFill>
                            <a:sysClr val="window" lastClr="FFFFFF">
                              <a:lumMod val="65000"/>
                            </a:sysClr>
                          </a:solidFill>
                          <a:prstDash val="solid"/>
                        </a:ln>
                        <a:effectLst>
                          <a:outerShdw blurRad="40000" dist="23000" dir="5400000" rotWithShape="0">
                            <a:srgbClr val="000000">
                              <a:alpha val="35000"/>
                            </a:srgbClr>
                          </a:outerShdw>
                        </a:effectLst>
                      </wps:spPr>
                      <wps:txbx>
                        <w:txbxContent>
                          <w:p w14:paraId="2E139BC8" w14:textId="77777777" w:rsidR="00C815D6" w:rsidRPr="00CA6FB0" w:rsidRDefault="00C815D6" w:rsidP="00A039F9">
                            <w:pPr>
                              <w:jc w:val="center"/>
                              <w:rPr>
                                <w:rFonts w:asciiTheme="majorHAnsi" w:hAnsiTheme="majorHAnsi" w:cstheme="majorHAnsi"/>
                              </w:rPr>
                            </w:pPr>
                            <w:r w:rsidRPr="00CA6FB0">
                              <w:rPr>
                                <w:rFonts w:asciiTheme="majorHAnsi" w:hAnsiTheme="majorHAnsi" w:cstheme="majorHAnsi"/>
                                <w:color w:val="000000"/>
                                <w:kern w:val="24"/>
                                <w:sz w:val="20"/>
                                <w:szCs w:val="20"/>
                              </w:rPr>
                              <w:t>Economía oculta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DB1BC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5 Llamada rectangular redondeada" o:spid="_x0000_s1026" type="#_x0000_t62" style="position:absolute;left:0;text-align:left;margin-left:356.95pt;margin-top:.9pt;width: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" adj="12262,35607" fillcolor="#a6a6a6" strokecolor="#a6a6a6">
                <v:shadow on="t" color="black" opacity="22937f" origin=",.5" offset="0,.63889mm"/>
                <v:textbox>
                  <w:txbxContent>
                    <w:p w14:paraId="2E139BC8" w14:textId="77777777" w:rsidR="00C815D6" w:rsidRPr="00CA6FB0" w:rsidRDefault="00C815D6" w:rsidP="00A039F9">
                      <w:pPr>
                        <w:jc w:val="center"/>
                        <w:rPr>
                          <w:rFonts w:asciiTheme="majorHAnsi" w:hAnsiTheme="majorHAnsi" w:cstheme="majorHAnsi"/>
                        </w:rPr>
                      </w:pPr>
                      <w:r w:rsidRPr="00CA6FB0">
                        <w:rPr>
                          <w:rFonts w:asciiTheme="majorHAnsi" w:hAnsiTheme="majorHAnsi" w:cstheme="majorHAnsi"/>
                          <w:color w:val="000000"/>
                          <w:kern w:val="24"/>
                          <w:sz w:val="20"/>
                          <w:szCs w:val="20"/>
                        </w:rPr>
                        <w:t>Economía oculta</w:t>
                      </w:r>
                    </w:p>
                  </w:txbxContent>
                </v:textbox>
              </v:shape>
            </w:pict>
          </mc:Fallback>
        </mc:AlternateContent>
      </w:r>
      <w:r w:rsidR="00A039F9" w:rsidRPr="00990CB0">
        <w:rPr>
          <w:rFonts w:ascii="Arial" w:eastAsia="Cambria" w:hAnsi="Arial" w:cs="Arial"/>
          <w:noProof/>
          <w:sz w:val="20"/>
          <w:szCs w:val="20"/>
          <w:lang w:eastAsia="es-PE"/>
        </w:rPr>
        <mc:AlternateContent>
          <mc:Choice Requires="wps">
            <w:drawing>
              <wp:anchor distT="0" distB="0" distL="114300" distR="114300" simplePos="0" relativeHeight="251657216" behindDoc="0" locked="0" layoutInCell="1" allowOverlap="1" wp14:anchorId="3B4F8521" wp14:editId="74B31076">
                <wp:simplePos x="0" y="0"/>
                <wp:positionH relativeFrom="column">
                  <wp:posOffset>4883785</wp:posOffset>
                </wp:positionH>
                <wp:positionV relativeFrom="paragraph">
                  <wp:posOffset>423545</wp:posOffset>
                </wp:positionV>
                <wp:extent cx="45085" cy="334645"/>
                <wp:effectExtent l="95250" t="38100" r="88265" b="84455"/>
                <wp:wrapNone/>
                <wp:docPr id="12" name="6 Conector recto de flecha"/>
                <wp:cNvGraphicFramePr/>
                <a:graphic xmlns:a="http://schemas.openxmlformats.org/drawingml/2006/main">
                  <a:graphicData uri="http://schemas.microsoft.com/office/word/2010/wordprocessingShape">
                    <wps:wsp>
                      <wps:cNvCnPr/>
                      <wps:spPr>
                        <a:xfrm flipH="1">
                          <a:off x="0" y="0"/>
                          <a:ext cx="45085" cy="334645"/>
                        </a:xfrm>
                        <a:prstGeom prst="straightConnector1">
                          <a:avLst/>
                        </a:prstGeom>
                        <a:noFill/>
                        <a:ln w="25400" cap="flat" cmpd="sng" algn="ctr">
                          <a:solidFill>
                            <a:sysClr val="window" lastClr="FFFFFF">
                              <a:lumMod val="65000"/>
                            </a:sys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6912D43" id="_x0000_t32" coordsize="21600,21600" o:spt="32" o:oned="t" path="m,l21600,21600e" filled="f">
                <v:path arrowok="t" fillok="f" o:connecttype="none"/>
                <o:lock v:ext="edit" shapetype="t"/>
              </v:shapetype>
              <v:shape id="6 Conector recto de flecha" o:spid="_x0000_s1026" type="#_x0000_t32" style="position:absolute;margin-left:384.55pt;margin-top:33.35pt;width:3.55pt;height:26.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" strokecolor="#a6a6a6" strokeweight="2pt">
                <v:stroke startarrow="open" endarrow="open"/>
                <v:shadow on="t" color="black" opacity="24903f" origin=",.5" offset="0,.55556mm"/>
              </v:shape>
            </w:pict>
          </mc:Fallback>
        </mc:AlternateContent>
      </w:r>
      <w:r w:rsidR="00A039F9" w:rsidRPr="00990CB0">
        <w:rPr>
          <w:rFonts w:ascii="Arial" w:eastAsia="Cambria" w:hAnsi="Arial" w:cs="Arial"/>
          <w:noProof/>
          <w:sz w:val="20"/>
          <w:szCs w:val="20"/>
          <w:lang w:eastAsia="es-PE"/>
        </w:rPr>
        <w:drawing>
          <wp:inline distT="0" distB="0" distL="0" distR="0" wp14:anchorId="148B7807" wp14:editId="45887371">
            <wp:extent cx="5327374" cy="2345635"/>
            <wp:effectExtent l="0" t="0" r="0" b="444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B09F1C" w14:textId="77777777" w:rsidR="00A039F9" w:rsidRPr="00990CB0" w:rsidRDefault="00A039F9" w:rsidP="00E74CA5">
      <w:pPr>
        <w:spacing w:after="0" w:line="240" w:lineRule="auto"/>
        <w:ind w:left="720"/>
        <w:contextualSpacing/>
        <w:jc w:val="center"/>
        <w:rPr>
          <w:rFonts w:ascii="Arial" w:eastAsia="Cambria" w:hAnsi="Arial" w:cs="Arial"/>
          <w:sz w:val="16"/>
          <w:szCs w:val="16"/>
        </w:rPr>
      </w:pPr>
      <w:r w:rsidRPr="00990CB0">
        <w:rPr>
          <w:rFonts w:ascii="Arial" w:eastAsia="Cambria" w:hAnsi="Arial" w:cs="Arial"/>
          <w:sz w:val="16"/>
          <w:szCs w:val="16"/>
        </w:rPr>
        <w:t>Fuente. Elaboración propia, 2019.</w:t>
      </w:r>
    </w:p>
    <w:p w14:paraId="5AD4F55F" w14:textId="77777777" w:rsidR="00A039F9" w:rsidRPr="00990CB0" w:rsidRDefault="00A039F9" w:rsidP="00E74CA5">
      <w:pPr>
        <w:spacing w:after="0" w:line="240" w:lineRule="auto"/>
        <w:jc w:val="both"/>
        <w:rPr>
          <w:rFonts w:ascii="Arial" w:eastAsia="Calibri" w:hAnsi="Arial" w:cs="Arial"/>
          <w:sz w:val="20"/>
          <w:szCs w:val="20"/>
          <w:lang w:eastAsia="es-PE"/>
        </w:rPr>
      </w:pPr>
    </w:p>
    <w:p w14:paraId="36D6358C" w14:textId="43AEEEBE" w:rsidR="00A039F9" w:rsidRPr="00990CB0" w:rsidRDefault="00A039F9" w:rsidP="00E74CA5">
      <w:pPr>
        <w:spacing w:after="0" w:line="240" w:lineRule="auto"/>
        <w:ind w:left="426"/>
        <w:jc w:val="both"/>
        <w:rPr>
          <w:rFonts w:ascii="Arial" w:eastAsia="Calibri" w:hAnsi="Arial" w:cs="Arial"/>
          <w:sz w:val="20"/>
          <w:szCs w:val="20"/>
          <w:lang w:eastAsia="es-PE"/>
        </w:rPr>
      </w:pPr>
      <w:r w:rsidRPr="00990CB0">
        <w:rPr>
          <w:rFonts w:ascii="Arial" w:eastAsia="Calibri" w:hAnsi="Arial" w:cs="Arial"/>
          <w:sz w:val="20"/>
          <w:szCs w:val="20"/>
          <w:lang w:eastAsia="es-PE"/>
        </w:rPr>
        <w:t>Según la Sociedad Peruana de Derecho Ambiental, el 98% de este oro extraído en territorio peruano tiene como destino final los mercados de Suiza, Canadá, Estados Unidos e Italia (2014)</w:t>
      </w:r>
      <w:r w:rsidRPr="00990CB0">
        <w:rPr>
          <w:rFonts w:ascii="Arial" w:eastAsia="Calibri" w:hAnsi="Arial" w:cs="Arial"/>
          <w:sz w:val="20"/>
          <w:szCs w:val="20"/>
          <w:vertAlign w:val="superscript"/>
          <w:lang w:eastAsia="es-PE"/>
        </w:rPr>
        <w:footnoteReference w:id="8"/>
      </w:r>
      <w:r w:rsidRPr="00990CB0">
        <w:rPr>
          <w:rFonts w:ascii="Arial" w:eastAsia="Calibri" w:hAnsi="Arial" w:cs="Arial"/>
          <w:sz w:val="20"/>
          <w:szCs w:val="20"/>
          <w:lang w:eastAsia="es-PE"/>
        </w:rPr>
        <w:t>. En un segundo nivel se encuentran el Reino Unido, China, Alemania, Sudáfrica, entre otros. Sin embargo, la naturaleza de la minería ilegal y la ausencia de información oficial impiden tener cifras exactas de la cantidad de oro ilegal exportado. Pese a ello, para cierre del 2014, se estima que aproximadamente 25.6 toneladas del oro producido y exportado es de procedencia ilegal (US$ 1,041)</w:t>
      </w:r>
      <w:r w:rsidRPr="00990CB0">
        <w:rPr>
          <w:rFonts w:ascii="Arial" w:eastAsia="Calibri" w:hAnsi="Arial" w:cs="Arial"/>
          <w:sz w:val="20"/>
          <w:szCs w:val="20"/>
          <w:vertAlign w:val="superscript"/>
          <w:lang w:eastAsia="es-PE"/>
        </w:rPr>
        <w:footnoteReference w:id="9"/>
      </w:r>
      <w:r w:rsidRPr="00990CB0">
        <w:rPr>
          <w:rFonts w:ascii="Arial" w:eastAsia="Calibri" w:hAnsi="Arial" w:cs="Arial"/>
          <w:sz w:val="20"/>
          <w:szCs w:val="20"/>
          <w:lang w:eastAsia="es-PE"/>
        </w:rPr>
        <w:t xml:space="preserve">.  </w:t>
      </w:r>
    </w:p>
    <w:p w14:paraId="52D1153F" w14:textId="77777777" w:rsidR="00DA19BC" w:rsidRPr="00990CB0" w:rsidRDefault="00DA19BC" w:rsidP="00E74CA5">
      <w:pPr>
        <w:spacing w:after="0" w:line="240" w:lineRule="auto"/>
        <w:ind w:left="426"/>
        <w:jc w:val="both"/>
        <w:rPr>
          <w:rFonts w:ascii="Arial" w:eastAsia="Calibri" w:hAnsi="Arial" w:cs="Arial"/>
          <w:sz w:val="20"/>
          <w:szCs w:val="20"/>
          <w:lang w:eastAsia="es-PE"/>
        </w:rPr>
      </w:pPr>
    </w:p>
    <w:p w14:paraId="3A29067A" w14:textId="09E530E7" w:rsidR="00D17770" w:rsidRPr="00990CB0" w:rsidRDefault="00D17770" w:rsidP="00E74CA5">
      <w:pPr>
        <w:pStyle w:val="Prrafodelista"/>
        <w:numPr>
          <w:ilvl w:val="0"/>
          <w:numId w:val="1"/>
        </w:numPr>
        <w:spacing w:after="0" w:line="240" w:lineRule="auto"/>
        <w:ind w:left="426"/>
        <w:jc w:val="both"/>
        <w:rPr>
          <w:rFonts w:ascii="Arial" w:hAnsi="Arial" w:cs="Arial"/>
          <w:b/>
          <w:bCs/>
          <w:sz w:val="20"/>
          <w:szCs w:val="20"/>
        </w:rPr>
      </w:pPr>
      <w:r w:rsidRPr="00990CB0">
        <w:rPr>
          <w:rFonts w:ascii="Arial" w:hAnsi="Arial" w:cs="Arial"/>
          <w:b/>
          <w:bCs/>
          <w:sz w:val="20"/>
          <w:szCs w:val="20"/>
        </w:rPr>
        <w:t>PROPUESTA</w:t>
      </w:r>
    </w:p>
    <w:p w14:paraId="52EA4212" w14:textId="77777777" w:rsidR="00DA19BC" w:rsidRPr="00990CB0" w:rsidRDefault="00DA19BC" w:rsidP="00DA19BC">
      <w:pPr>
        <w:pStyle w:val="Prrafodelista"/>
        <w:spacing w:after="0" w:line="240" w:lineRule="auto"/>
        <w:ind w:left="426"/>
        <w:jc w:val="both"/>
        <w:rPr>
          <w:rFonts w:ascii="Arial" w:hAnsi="Arial" w:cs="Arial"/>
          <w:bCs/>
          <w:sz w:val="20"/>
          <w:szCs w:val="20"/>
        </w:rPr>
      </w:pPr>
    </w:p>
    <w:p w14:paraId="7FF59EE0" w14:textId="77777777" w:rsidR="00C815D6" w:rsidRPr="00990CB0" w:rsidRDefault="002D3A7B" w:rsidP="003E5914">
      <w:pPr>
        <w:pStyle w:val="Prrafodelista"/>
        <w:spacing w:after="0" w:line="240" w:lineRule="auto"/>
        <w:ind w:left="426"/>
        <w:jc w:val="both"/>
        <w:rPr>
          <w:rFonts w:ascii="Arial" w:eastAsia="Times New Roman" w:hAnsi="Arial" w:cs="Arial"/>
          <w:sz w:val="20"/>
          <w:szCs w:val="20"/>
          <w:lang w:eastAsia="es-PE"/>
        </w:rPr>
      </w:pPr>
      <w:r w:rsidRPr="00990CB0">
        <w:rPr>
          <w:rFonts w:ascii="Arial" w:hAnsi="Arial" w:cs="Arial"/>
          <w:bCs/>
          <w:sz w:val="20"/>
          <w:szCs w:val="20"/>
        </w:rPr>
        <w:t xml:space="preserve">La propuesta de norma tiene </w:t>
      </w:r>
      <w:r w:rsidRPr="00990CB0">
        <w:rPr>
          <w:rFonts w:ascii="Arial" w:eastAsia="Times New Roman" w:hAnsi="Arial" w:cs="Arial"/>
          <w:sz w:val="20"/>
          <w:szCs w:val="20"/>
          <w:lang w:eastAsia="es-PE"/>
        </w:rPr>
        <w:t xml:space="preserve">por objeto la emisión de normas reglamentarias referidas </w:t>
      </w:r>
      <w:r w:rsidR="00C20B8D" w:rsidRPr="00990CB0">
        <w:rPr>
          <w:rFonts w:ascii="Arial" w:eastAsia="Times New Roman" w:hAnsi="Arial" w:cs="Arial"/>
          <w:sz w:val="20"/>
          <w:szCs w:val="20"/>
          <w:lang w:eastAsia="es-PE"/>
        </w:rPr>
        <w:t xml:space="preserve">i) </w:t>
      </w:r>
      <w:r w:rsidRPr="00990CB0">
        <w:rPr>
          <w:rFonts w:ascii="Arial" w:eastAsia="Times New Roman" w:hAnsi="Arial" w:cs="Arial"/>
          <w:sz w:val="20"/>
          <w:szCs w:val="20"/>
          <w:lang w:eastAsia="es-PE"/>
        </w:rPr>
        <w:t xml:space="preserve">al </w:t>
      </w:r>
      <w:r w:rsidRPr="00990CB0">
        <w:rPr>
          <w:rFonts w:ascii="Arial" w:eastAsia="Times New Roman" w:hAnsi="Arial" w:cs="Arial"/>
          <w:i/>
          <w:sz w:val="20"/>
          <w:szCs w:val="20"/>
          <w:lang w:eastAsia="es-PE"/>
        </w:rPr>
        <w:t>establecimiento de las condiciones de acceso permanencia y control del Registro Especial de Comercializadores y Procesadores de Oro-RECPO</w:t>
      </w:r>
      <w:r w:rsidR="007927EF" w:rsidRPr="00990CB0">
        <w:rPr>
          <w:rFonts w:ascii="Arial" w:eastAsia="Times New Roman" w:hAnsi="Arial" w:cs="Arial"/>
          <w:i/>
          <w:sz w:val="20"/>
          <w:szCs w:val="20"/>
          <w:lang w:eastAsia="es-PE"/>
        </w:rPr>
        <w:t xml:space="preserve">, </w:t>
      </w:r>
      <w:r w:rsidR="007927EF" w:rsidRPr="00990CB0">
        <w:rPr>
          <w:rFonts w:ascii="Arial" w:eastAsia="Times New Roman" w:hAnsi="Arial" w:cs="Arial"/>
          <w:sz w:val="20"/>
          <w:szCs w:val="20"/>
          <w:lang w:eastAsia="es-PE"/>
        </w:rPr>
        <w:t xml:space="preserve">como se indicó en la sección Análisis del problema, el RECPO es un registro plano que no establece ningún tipo de exigencia o condición para su registro </w:t>
      </w:r>
      <w:r w:rsidR="00C20B8D" w:rsidRPr="00990CB0">
        <w:rPr>
          <w:rFonts w:ascii="Arial" w:eastAsia="Times New Roman" w:hAnsi="Arial" w:cs="Arial"/>
          <w:sz w:val="20"/>
          <w:szCs w:val="20"/>
          <w:lang w:eastAsia="es-PE"/>
        </w:rPr>
        <w:t>más</w:t>
      </w:r>
      <w:r w:rsidR="007927EF" w:rsidRPr="00990CB0">
        <w:rPr>
          <w:rFonts w:ascii="Arial" w:eastAsia="Times New Roman" w:hAnsi="Arial" w:cs="Arial"/>
          <w:sz w:val="20"/>
          <w:szCs w:val="20"/>
          <w:lang w:eastAsia="es-PE"/>
        </w:rPr>
        <w:t xml:space="preserve"> que presentar</w:t>
      </w:r>
      <w:r w:rsidR="00C20B8D" w:rsidRPr="00990CB0">
        <w:rPr>
          <w:rFonts w:ascii="Arial" w:eastAsia="Times New Roman" w:hAnsi="Arial" w:cs="Arial"/>
          <w:sz w:val="20"/>
          <w:szCs w:val="20"/>
          <w:lang w:eastAsia="es-PE"/>
        </w:rPr>
        <w:t xml:space="preserve"> un formato debidamente llenado</w:t>
      </w:r>
      <w:r w:rsidR="00C20B8D" w:rsidRPr="00990CB0">
        <w:rPr>
          <w:rFonts w:ascii="Arial" w:eastAsia="Times New Roman" w:hAnsi="Arial" w:cs="Arial"/>
          <w:i/>
          <w:sz w:val="20"/>
          <w:szCs w:val="20"/>
          <w:lang w:eastAsia="es-PE"/>
        </w:rPr>
        <w:t>; ii)</w:t>
      </w:r>
      <w:r w:rsidR="007927EF" w:rsidRPr="00990CB0">
        <w:rPr>
          <w:rFonts w:ascii="Arial" w:eastAsia="Times New Roman" w:hAnsi="Arial" w:cs="Arial"/>
          <w:i/>
          <w:sz w:val="20"/>
          <w:szCs w:val="20"/>
          <w:lang w:eastAsia="es-PE"/>
        </w:rPr>
        <w:t xml:space="preserve"> </w:t>
      </w:r>
      <w:r w:rsidR="00C20B8D" w:rsidRPr="00990CB0">
        <w:rPr>
          <w:rFonts w:ascii="Arial" w:eastAsia="Times New Roman" w:hAnsi="Arial" w:cs="Arial"/>
          <w:i/>
          <w:sz w:val="20"/>
          <w:szCs w:val="20"/>
          <w:lang w:eastAsia="es-PE"/>
        </w:rPr>
        <w:t xml:space="preserve">establecimiento de disposiciones específicas </w:t>
      </w:r>
      <w:r w:rsidR="00C20B8D" w:rsidRPr="00990CB0">
        <w:rPr>
          <w:rFonts w:ascii="Arial" w:eastAsia="Times New Roman" w:hAnsi="Arial" w:cs="Arial"/>
          <w:sz w:val="20"/>
          <w:szCs w:val="20"/>
          <w:lang w:eastAsia="es-PE"/>
        </w:rPr>
        <w:t>respecto de la comercialización del oro provenientes de los pequeños productores mineros, productores mineros artesanales y personas naturales empadronadas al amparo del Decreto Supremo N° 018-2018-EM, aspecto que es necesario mejorar</w:t>
      </w:r>
      <w:r w:rsidR="00D966E9" w:rsidRPr="00990CB0">
        <w:rPr>
          <w:rFonts w:ascii="Arial" w:eastAsia="Times New Roman" w:hAnsi="Arial" w:cs="Arial"/>
          <w:sz w:val="20"/>
          <w:szCs w:val="20"/>
          <w:lang w:eastAsia="es-PE"/>
        </w:rPr>
        <w:t>, de hecho</w:t>
      </w:r>
      <w:r w:rsidR="00DD7B37" w:rsidRPr="00990CB0">
        <w:rPr>
          <w:rFonts w:ascii="Arial" w:eastAsia="Times New Roman" w:hAnsi="Arial" w:cs="Arial"/>
          <w:sz w:val="20"/>
          <w:szCs w:val="20"/>
          <w:lang w:eastAsia="es-PE"/>
        </w:rPr>
        <w:t>,</w:t>
      </w:r>
      <w:r w:rsidR="00D966E9" w:rsidRPr="00990CB0">
        <w:rPr>
          <w:rFonts w:ascii="Arial" w:eastAsia="Times New Roman" w:hAnsi="Arial" w:cs="Arial"/>
          <w:sz w:val="20"/>
          <w:szCs w:val="20"/>
          <w:lang w:eastAsia="es-PE"/>
        </w:rPr>
        <w:t xml:space="preserve"> la reputación</w:t>
      </w:r>
      <w:r w:rsidR="00DD7B37" w:rsidRPr="00990CB0">
        <w:rPr>
          <w:rStyle w:val="Refdenotaalpie"/>
          <w:rFonts w:ascii="Arial" w:eastAsia="Times New Roman" w:hAnsi="Arial" w:cs="Arial"/>
          <w:sz w:val="20"/>
          <w:szCs w:val="20"/>
          <w:lang w:eastAsia="es-PE"/>
        </w:rPr>
        <w:footnoteReference w:id="10"/>
      </w:r>
      <w:r w:rsidR="00D966E9" w:rsidRPr="00990CB0">
        <w:rPr>
          <w:rFonts w:ascii="Arial" w:eastAsia="Times New Roman" w:hAnsi="Arial" w:cs="Arial"/>
          <w:sz w:val="20"/>
          <w:szCs w:val="20"/>
          <w:lang w:eastAsia="es-PE"/>
        </w:rPr>
        <w:t xml:space="preserve"> de la</w:t>
      </w:r>
      <w:r w:rsidR="00DD7B37" w:rsidRPr="00990CB0">
        <w:rPr>
          <w:rFonts w:ascii="Arial" w:eastAsia="Times New Roman" w:hAnsi="Arial" w:cs="Arial"/>
          <w:sz w:val="20"/>
          <w:szCs w:val="20"/>
          <w:lang w:eastAsia="es-PE"/>
        </w:rPr>
        <w:t xml:space="preserve"> </w:t>
      </w:r>
      <w:r w:rsidR="00D966E9" w:rsidRPr="00990CB0">
        <w:rPr>
          <w:rFonts w:ascii="Arial" w:eastAsia="Times New Roman" w:hAnsi="Arial" w:cs="Arial"/>
          <w:sz w:val="20"/>
          <w:szCs w:val="20"/>
          <w:lang w:eastAsia="es-PE"/>
        </w:rPr>
        <w:t>minería en pequeña escala -en Madre de Dios- es una importante limitación para que los mineros formales puedan vincularse rápidamente a iniciativas de comercio justo que podrían brindarles precios más competitivos por su producto</w:t>
      </w:r>
      <w:r w:rsidR="00DD7B37" w:rsidRPr="00990CB0">
        <w:rPr>
          <w:rFonts w:ascii="Arial" w:eastAsia="Times New Roman" w:hAnsi="Arial" w:cs="Arial"/>
          <w:sz w:val="20"/>
          <w:szCs w:val="20"/>
          <w:lang w:eastAsia="es-PE"/>
        </w:rPr>
        <w:t>.</w:t>
      </w:r>
    </w:p>
    <w:p w14:paraId="0CDCFEA0" w14:textId="77777777" w:rsidR="003E5914" w:rsidRPr="00990CB0" w:rsidRDefault="003E5914" w:rsidP="003E5914">
      <w:pPr>
        <w:pStyle w:val="Prrafodelista"/>
        <w:spacing w:after="0" w:line="240" w:lineRule="auto"/>
        <w:ind w:left="426"/>
        <w:jc w:val="both"/>
        <w:rPr>
          <w:rFonts w:ascii="Arial" w:eastAsia="Times New Roman" w:hAnsi="Arial" w:cs="Arial"/>
          <w:sz w:val="20"/>
          <w:szCs w:val="20"/>
          <w:lang w:eastAsia="es-PE"/>
        </w:rPr>
      </w:pPr>
    </w:p>
    <w:p w14:paraId="1520EE5C" w14:textId="27860CDD" w:rsidR="00A3702F" w:rsidRPr="00990CB0" w:rsidRDefault="003E5914" w:rsidP="003E5914">
      <w:pPr>
        <w:pStyle w:val="Prrafodelista"/>
        <w:spacing w:after="0" w:line="240" w:lineRule="auto"/>
        <w:ind w:left="426"/>
        <w:jc w:val="both"/>
        <w:rPr>
          <w:rFonts w:ascii="Arial" w:eastAsia="Times New Roman" w:hAnsi="Arial" w:cs="Arial"/>
          <w:sz w:val="20"/>
          <w:szCs w:val="20"/>
          <w:lang w:eastAsia="es-PE"/>
        </w:rPr>
      </w:pPr>
      <w:r w:rsidRPr="00990CB0">
        <w:rPr>
          <w:rFonts w:ascii="Arial" w:eastAsia="Times New Roman" w:hAnsi="Arial" w:cs="Arial"/>
          <w:sz w:val="20"/>
          <w:szCs w:val="20"/>
          <w:lang w:eastAsia="es-PE"/>
        </w:rPr>
        <w:t xml:space="preserve">Asimismo, al ámbito de aplicación de la norma queda acotado al mineral aurífero </w:t>
      </w:r>
      <w:r w:rsidR="009A43BA" w:rsidRPr="00990CB0">
        <w:rPr>
          <w:rFonts w:ascii="Arial" w:eastAsia="Times New Roman" w:hAnsi="Arial" w:cs="Arial"/>
          <w:sz w:val="20"/>
          <w:szCs w:val="20"/>
          <w:lang w:eastAsia="es-PE"/>
        </w:rPr>
        <w:t xml:space="preserve">producido por la minería en pequeña escala, que comprende a los pequeños productores mineros y productores mineros artesanales, así como a las seleccionadoras manuales de oro, </w:t>
      </w:r>
      <w:r w:rsidRPr="00990CB0">
        <w:rPr>
          <w:rFonts w:ascii="Arial" w:eastAsia="Times New Roman" w:hAnsi="Arial" w:cs="Arial"/>
          <w:sz w:val="20"/>
          <w:szCs w:val="20"/>
          <w:lang w:eastAsia="es-PE"/>
        </w:rPr>
        <w:t xml:space="preserve">dado que la habilitación legal comprendida en la Sétima Disposición Complementaria Final del Decreto Legislativo Nº 1105, permite emitir disposiciones </w:t>
      </w:r>
      <w:r w:rsidR="00A3702F" w:rsidRPr="00990CB0">
        <w:rPr>
          <w:rFonts w:ascii="Arial" w:eastAsia="Times New Roman" w:hAnsi="Arial" w:cs="Arial"/>
          <w:sz w:val="20"/>
          <w:szCs w:val="20"/>
          <w:lang w:eastAsia="es-PE"/>
        </w:rPr>
        <w:t>para la comercialización del oro obtenido de estas actividades. En ese sentido, la norma establece una serie de definiciones para mejor entendimie</w:t>
      </w:r>
      <w:r w:rsidR="00B30F73" w:rsidRPr="00990CB0">
        <w:rPr>
          <w:rFonts w:ascii="Arial" w:eastAsia="Times New Roman" w:hAnsi="Arial" w:cs="Arial"/>
          <w:sz w:val="20"/>
          <w:szCs w:val="20"/>
          <w:lang w:eastAsia="es-PE"/>
        </w:rPr>
        <w:t>nto de su contenido, cabe resaltar que la norma identifica como usuario RECPO a aquella persona (comercializador del oro) i</w:t>
      </w:r>
      <w:r w:rsidR="00736F32" w:rsidRPr="00990CB0">
        <w:rPr>
          <w:rFonts w:ascii="Arial" w:eastAsia="Times New Roman" w:hAnsi="Arial" w:cs="Arial"/>
          <w:sz w:val="20"/>
          <w:szCs w:val="20"/>
          <w:lang w:eastAsia="es-PE"/>
        </w:rPr>
        <w:t>nscrito en el referido registro; además,, en la presente propuesta normativa se establece la definición de la trazabilidad del oro, la cual debido a la naturaleza del mineral la hemos dividido en partes que van desde la explotación, seguido del transporte, beneficio, comercialización y finalmente el destino del oro.</w:t>
      </w:r>
    </w:p>
    <w:p w14:paraId="0240F4CE" w14:textId="77777777" w:rsidR="00146B2F" w:rsidRPr="00990CB0" w:rsidRDefault="00146B2F" w:rsidP="000558E9">
      <w:pPr>
        <w:pStyle w:val="Prrafodelista"/>
        <w:spacing w:after="0" w:line="240" w:lineRule="auto"/>
        <w:ind w:left="426"/>
        <w:jc w:val="both"/>
        <w:rPr>
          <w:rFonts w:ascii="Arial" w:eastAsia="Times New Roman" w:hAnsi="Arial" w:cs="Arial"/>
          <w:sz w:val="20"/>
          <w:szCs w:val="20"/>
          <w:lang w:eastAsia="es-PE"/>
        </w:rPr>
      </w:pPr>
    </w:p>
    <w:p w14:paraId="2B64F5AC" w14:textId="6DD2EE9C" w:rsidR="000558E9" w:rsidRPr="00990CB0" w:rsidRDefault="001B7D87" w:rsidP="000558E9">
      <w:pPr>
        <w:pStyle w:val="Prrafodelista"/>
        <w:spacing w:after="0" w:line="240" w:lineRule="auto"/>
        <w:ind w:left="426"/>
        <w:jc w:val="both"/>
        <w:rPr>
          <w:rFonts w:ascii="Arial" w:eastAsia="Times New Roman" w:hAnsi="Arial" w:cs="Arial"/>
          <w:sz w:val="20"/>
          <w:szCs w:val="20"/>
          <w:shd w:val="clear" w:color="auto" w:fill="FFFFFF"/>
          <w:lang w:eastAsia="es-PE"/>
        </w:rPr>
      </w:pPr>
      <w:r w:rsidRPr="00990CB0">
        <w:rPr>
          <w:rFonts w:ascii="Arial" w:eastAsia="Times New Roman" w:hAnsi="Arial" w:cs="Arial"/>
          <w:sz w:val="20"/>
          <w:szCs w:val="20"/>
          <w:lang w:eastAsia="es-PE"/>
        </w:rPr>
        <w:lastRenderedPageBreak/>
        <w:t xml:space="preserve">El Decreto Supremo propone establecer un sistema de control </w:t>
      </w:r>
      <w:r w:rsidR="006619F4" w:rsidRPr="00990CB0">
        <w:rPr>
          <w:rFonts w:ascii="Arial" w:eastAsia="Times New Roman" w:hAnsi="Arial" w:cs="Arial"/>
          <w:sz w:val="20"/>
          <w:szCs w:val="20"/>
          <w:lang w:eastAsia="es-PE"/>
        </w:rPr>
        <w:t xml:space="preserve">de la trazabilidad del oro a </w:t>
      </w:r>
      <w:r w:rsidRPr="00990CB0">
        <w:rPr>
          <w:rFonts w:ascii="Arial" w:eastAsia="Times New Roman" w:hAnsi="Arial" w:cs="Arial"/>
          <w:sz w:val="20"/>
          <w:szCs w:val="20"/>
          <w:lang w:eastAsia="es-PE"/>
        </w:rPr>
        <w:t xml:space="preserve">través del reporte </w:t>
      </w:r>
      <w:r w:rsidR="00146B2F" w:rsidRPr="00990CB0">
        <w:rPr>
          <w:rFonts w:ascii="Arial" w:eastAsia="Times New Roman" w:hAnsi="Arial" w:cs="Arial"/>
          <w:sz w:val="20"/>
          <w:szCs w:val="20"/>
          <w:lang w:eastAsia="es-PE"/>
        </w:rPr>
        <w:t>realizado</w:t>
      </w:r>
      <w:r w:rsidR="006619F4" w:rsidRPr="00990CB0">
        <w:rPr>
          <w:rFonts w:ascii="Arial" w:eastAsia="Times New Roman" w:hAnsi="Arial" w:cs="Arial"/>
          <w:sz w:val="20"/>
          <w:szCs w:val="20"/>
          <w:lang w:eastAsia="es-PE"/>
        </w:rPr>
        <w:t xml:space="preserve"> </w:t>
      </w:r>
      <w:r w:rsidR="00146B2F" w:rsidRPr="00990CB0">
        <w:rPr>
          <w:rFonts w:ascii="Arial" w:eastAsia="Times New Roman" w:hAnsi="Arial" w:cs="Arial"/>
          <w:sz w:val="20"/>
          <w:szCs w:val="20"/>
          <w:lang w:eastAsia="es-PE"/>
        </w:rPr>
        <w:t>por</w:t>
      </w:r>
      <w:r w:rsidRPr="00990CB0">
        <w:rPr>
          <w:rFonts w:ascii="Arial" w:eastAsia="Times New Roman" w:hAnsi="Arial" w:cs="Arial"/>
          <w:sz w:val="20"/>
          <w:szCs w:val="20"/>
          <w:lang w:eastAsia="es-PE"/>
        </w:rPr>
        <w:t xml:space="preserve"> los c</w:t>
      </w:r>
      <w:r w:rsidR="00C64252" w:rsidRPr="00990CB0">
        <w:rPr>
          <w:rFonts w:ascii="Arial" w:eastAsia="Times New Roman" w:hAnsi="Arial" w:cs="Arial"/>
          <w:sz w:val="20"/>
          <w:szCs w:val="20"/>
          <w:lang w:eastAsia="es-PE"/>
        </w:rPr>
        <w:t xml:space="preserve">ompradores del mineral aurífero, </w:t>
      </w:r>
      <w:r w:rsidRPr="00990CB0">
        <w:rPr>
          <w:rFonts w:ascii="Arial" w:eastAsia="Times New Roman" w:hAnsi="Arial" w:cs="Arial"/>
          <w:sz w:val="20"/>
          <w:szCs w:val="20"/>
          <w:lang w:eastAsia="es-PE"/>
        </w:rPr>
        <w:t xml:space="preserve">a lo largo de toda la cadena de </w:t>
      </w:r>
      <w:r w:rsidR="00C64252" w:rsidRPr="00990CB0">
        <w:rPr>
          <w:rFonts w:ascii="Arial" w:eastAsia="Times New Roman" w:hAnsi="Arial" w:cs="Arial"/>
          <w:sz w:val="20"/>
          <w:szCs w:val="20"/>
          <w:lang w:eastAsia="es-PE"/>
        </w:rPr>
        <w:t>valor de producción del oro</w:t>
      </w:r>
      <w:r w:rsidR="006619F4" w:rsidRPr="00990CB0">
        <w:rPr>
          <w:rFonts w:ascii="Arial" w:eastAsia="Times New Roman" w:hAnsi="Arial" w:cs="Arial"/>
          <w:sz w:val="20"/>
          <w:szCs w:val="20"/>
          <w:lang w:eastAsia="es-PE"/>
        </w:rPr>
        <w:t xml:space="preserve">. En el esquema propuesto, </w:t>
      </w:r>
      <w:r w:rsidR="00876962" w:rsidRPr="00990CB0">
        <w:rPr>
          <w:rFonts w:ascii="Arial" w:eastAsia="Times New Roman" w:hAnsi="Arial" w:cs="Arial"/>
          <w:sz w:val="20"/>
          <w:szCs w:val="20"/>
          <w:lang w:eastAsia="es-PE"/>
        </w:rPr>
        <w:t xml:space="preserve">se pretende identificar al custodio del mineral aurífero desde su primera venta hasta el destino final. </w:t>
      </w:r>
      <w:r w:rsidR="00922C4A" w:rsidRPr="00990CB0">
        <w:rPr>
          <w:rFonts w:ascii="Arial" w:eastAsia="Times New Roman" w:hAnsi="Arial" w:cs="Arial"/>
          <w:i/>
          <w:iCs/>
          <w:sz w:val="20"/>
          <w:szCs w:val="20"/>
          <w:shd w:val="clear" w:color="auto" w:fill="FFFFFF"/>
          <w:lang w:eastAsia="es-PE"/>
        </w:rPr>
        <w:t>Lo que no se puede medir no se puede mejorar</w:t>
      </w:r>
      <w:r w:rsidR="00922C4A" w:rsidRPr="00990CB0">
        <w:rPr>
          <w:rFonts w:ascii="Arial" w:eastAsia="Times New Roman" w:hAnsi="Arial" w:cs="Arial"/>
          <w:sz w:val="20"/>
          <w:szCs w:val="20"/>
          <w:shd w:val="clear" w:color="auto" w:fill="FFFFFF"/>
          <w:lang w:eastAsia="es-PE"/>
        </w:rPr>
        <w:t xml:space="preserve">, conocido principio de la administración </w:t>
      </w:r>
      <w:r w:rsidR="00146B2F" w:rsidRPr="00990CB0">
        <w:rPr>
          <w:rFonts w:ascii="Arial" w:eastAsia="Times New Roman" w:hAnsi="Arial" w:cs="Arial"/>
          <w:sz w:val="20"/>
          <w:szCs w:val="20"/>
          <w:shd w:val="clear" w:color="auto" w:fill="FFFFFF"/>
          <w:lang w:eastAsia="es-PE"/>
        </w:rPr>
        <w:t xml:space="preserve">que, es </w:t>
      </w:r>
      <w:r w:rsidR="00922C4A" w:rsidRPr="00990CB0">
        <w:rPr>
          <w:rFonts w:ascii="Arial" w:eastAsia="Times New Roman" w:hAnsi="Arial" w:cs="Arial"/>
          <w:sz w:val="20"/>
          <w:szCs w:val="20"/>
          <w:shd w:val="clear" w:color="auto" w:fill="FFFFFF"/>
          <w:lang w:eastAsia="es-PE"/>
        </w:rPr>
        <w:t xml:space="preserve">citado en esta oportunidad para resumir el objetivo del </w:t>
      </w:r>
      <w:r w:rsidR="0054546D" w:rsidRPr="00990CB0">
        <w:rPr>
          <w:rFonts w:ascii="Arial" w:eastAsia="Times New Roman" w:hAnsi="Arial" w:cs="Arial"/>
          <w:sz w:val="20"/>
          <w:szCs w:val="20"/>
          <w:shd w:val="clear" w:color="auto" w:fill="FFFFFF"/>
          <w:lang w:eastAsia="es-PE"/>
        </w:rPr>
        <w:t>Decreto Supremo</w:t>
      </w:r>
      <w:r w:rsidR="00922C4A" w:rsidRPr="00990CB0">
        <w:rPr>
          <w:rFonts w:ascii="Arial" w:eastAsia="Times New Roman" w:hAnsi="Arial" w:cs="Arial"/>
          <w:sz w:val="20"/>
          <w:szCs w:val="20"/>
          <w:shd w:val="clear" w:color="auto" w:fill="FFFFFF"/>
          <w:lang w:eastAsia="es-PE"/>
        </w:rPr>
        <w:t xml:space="preserve"> a través del cual se propone que el </w:t>
      </w:r>
      <w:r w:rsidR="0054546D" w:rsidRPr="00990CB0">
        <w:rPr>
          <w:rFonts w:ascii="Arial" w:eastAsia="Times New Roman" w:hAnsi="Arial" w:cs="Arial"/>
          <w:sz w:val="20"/>
          <w:szCs w:val="20"/>
          <w:shd w:val="clear" w:color="auto" w:fill="FFFFFF"/>
          <w:lang w:eastAsia="es-PE"/>
        </w:rPr>
        <w:t>RECPO</w:t>
      </w:r>
      <w:r w:rsidR="00922C4A" w:rsidRPr="00990CB0">
        <w:rPr>
          <w:rFonts w:ascii="Arial" w:eastAsia="Times New Roman" w:hAnsi="Arial" w:cs="Arial"/>
          <w:sz w:val="20"/>
          <w:szCs w:val="20"/>
          <w:shd w:val="clear" w:color="auto" w:fill="FFFFFF"/>
          <w:lang w:eastAsia="es-PE"/>
        </w:rPr>
        <w:t xml:space="preserve"> sea la plataforma informática de uso obligatorio en la que se reporte en línea la información relacionada a la compra del oro por parte de los comercializadores y procesadores que</w:t>
      </w:r>
      <w:r w:rsidR="00287F58" w:rsidRPr="00990CB0">
        <w:rPr>
          <w:rFonts w:ascii="Arial" w:eastAsia="Times New Roman" w:hAnsi="Arial" w:cs="Arial"/>
          <w:sz w:val="20"/>
          <w:szCs w:val="20"/>
          <w:shd w:val="clear" w:color="auto" w:fill="FFFFFF"/>
          <w:lang w:eastAsia="es-PE"/>
        </w:rPr>
        <w:t>,</w:t>
      </w:r>
      <w:r w:rsidR="00922C4A" w:rsidRPr="00990CB0">
        <w:rPr>
          <w:rFonts w:ascii="Arial" w:eastAsia="Times New Roman" w:hAnsi="Arial" w:cs="Arial"/>
          <w:sz w:val="20"/>
          <w:szCs w:val="20"/>
          <w:shd w:val="clear" w:color="auto" w:fill="FFFFFF"/>
          <w:lang w:eastAsia="es-PE"/>
        </w:rPr>
        <w:t xml:space="preserve"> adquieren dicho mineral</w:t>
      </w:r>
      <w:r w:rsidR="00287F58" w:rsidRPr="00990CB0">
        <w:rPr>
          <w:rFonts w:ascii="Arial" w:eastAsia="Times New Roman" w:hAnsi="Arial" w:cs="Arial"/>
          <w:sz w:val="20"/>
          <w:szCs w:val="20"/>
          <w:shd w:val="clear" w:color="auto" w:fill="FFFFFF"/>
          <w:lang w:eastAsia="es-PE"/>
        </w:rPr>
        <w:t xml:space="preserve"> </w:t>
      </w:r>
      <w:r w:rsidR="00922C4A" w:rsidRPr="00990CB0">
        <w:rPr>
          <w:rFonts w:ascii="Arial" w:eastAsia="Times New Roman" w:hAnsi="Arial" w:cs="Arial"/>
          <w:sz w:val="20"/>
          <w:szCs w:val="20"/>
          <w:shd w:val="clear" w:color="auto" w:fill="FFFFFF"/>
          <w:lang w:eastAsia="es-PE"/>
        </w:rPr>
        <w:t>proveniente de la actividad minera de</w:t>
      </w:r>
      <w:r w:rsidR="000558E9" w:rsidRPr="00990CB0">
        <w:rPr>
          <w:rFonts w:ascii="Arial" w:eastAsia="Times New Roman" w:hAnsi="Arial" w:cs="Arial"/>
          <w:sz w:val="20"/>
          <w:szCs w:val="20"/>
          <w:shd w:val="clear" w:color="auto" w:fill="FFFFFF"/>
          <w:lang w:eastAsia="es-PE"/>
        </w:rPr>
        <w:t xml:space="preserve"> pequeños productores mineros, productores </w:t>
      </w:r>
      <w:r w:rsidR="00922C4A" w:rsidRPr="00990CB0">
        <w:rPr>
          <w:rFonts w:ascii="Arial" w:eastAsia="Times New Roman" w:hAnsi="Arial" w:cs="Arial"/>
          <w:sz w:val="20"/>
          <w:szCs w:val="20"/>
          <w:shd w:val="clear" w:color="auto" w:fill="FFFFFF"/>
          <w:lang w:eastAsia="es-PE"/>
        </w:rPr>
        <w:t>mineros artesanale</w:t>
      </w:r>
      <w:r w:rsidR="000558E9" w:rsidRPr="00990CB0">
        <w:rPr>
          <w:rFonts w:ascii="Arial" w:eastAsia="Times New Roman" w:hAnsi="Arial" w:cs="Arial"/>
          <w:sz w:val="20"/>
          <w:szCs w:val="20"/>
          <w:shd w:val="clear" w:color="auto" w:fill="FFFFFF"/>
          <w:lang w:eastAsia="es-PE"/>
        </w:rPr>
        <w:t>s y seleccionador</w:t>
      </w:r>
      <w:r w:rsidR="00661346" w:rsidRPr="00990CB0">
        <w:rPr>
          <w:rFonts w:ascii="Arial" w:eastAsia="Times New Roman" w:hAnsi="Arial" w:cs="Arial"/>
          <w:sz w:val="20"/>
          <w:szCs w:val="20"/>
          <w:shd w:val="clear" w:color="auto" w:fill="FFFFFF"/>
          <w:lang w:eastAsia="es-PE"/>
        </w:rPr>
        <w:t>e</w:t>
      </w:r>
      <w:r w:rsidR="000558E9" w:rsidRPr="00990CB0">
        <w:rPr>
          <w:rFonts w:ascii="Arial" w:eastAsia="Times New Roman" w:hAnsi="Arial" w:cs="Arial"/>
          <w:sz w:val="20"/>
          <w:szCs w:val="20"/>
          <w:shd w:val="clear" w:color="auto" w:fill="FFFFFF"/>
          <w:lang w:eastAsia="es-PE"/>
        </w:rPr>
        <w:t>s manuales de oro</w:t>
      </w:r>
      <w:r w:rsidR="00661346" w:rsidRPr="00990CB0">
        <w:rPr>
          <w:rFonts w:ascii="Arial" w:eastAsia="Times New Roman" w:hAnsi="Arial" w:cs="Arial"/>
          <w:sz w:val="20"/>
          <w:szCs w:val="20"/>
          <w:shd w:val="clear" w:color="auto" w:fill="FFFFFF"/>
          <w:lang w:eastAsia="es-PE"/>
        </w:rPr>
        <w:t>, donde éstos últimos -los proveedores- brindarán conformidad de la transacción realizada.</w:t>
      </w:r>
    </w:p>
    <w:p w14:paraId="5B318E71" w14:textId="2AAB6E26" w:rsidR="000558E9" w:rsidRPr="00990CB0" w:rsidRDefault="000558E9" w:rsidP="000558E9">
      <w:pPr>
        <w:pStyle w:val="Prrafodelista"/>
        <w:spacing w:after="0" w:line="240" w:lineRule="auto"/>
        <w:ind w:left="426"/>
        <w:jc w:val="both"/>
        <w:rPr>
          <w:rFonts w:ascii="Arial" w:eastAsia="Times New Roman" w:hAnsi="Arial" w:cs="Arial"/>
          <w:sz w:val="20"/>
          <w:szCs w:val="20"/>
          <w:shd w:val="clear" w:color="auto" w:fill="FFFFFF"/>
          <w:lang w:eastAsia="es-PE"/>
        </w:rPr>
      </w:pPr>
    </w:p>
    <w:p w14:paraId="009378F5" w14:textId="02FA4BCC" w:rsidR="00116357" w:rsidRPr="00990CB0" w:rsidRDefault="00116357" w:rsidP="00116357">
      <w:pPr>
        <w:pStyle w:val="Prrafodelista"/>
        <w:spacing w:after="0" w:line="240" w:lineRule="auto"/>
        <w:ind w:left="426"/>
        <w:jc w:val="both"/>
        <w:rPr>
          <w:rFonts w:ascii="Arial" w:hAnsi="Arial" w:cs="Arial"/>
          <w:sz w:val="20"/>
          <w:szCs w:val="20"/>
          <w:shd w:val="clear" w:color="auto" w:fill="FFFFFF"/>
        </w:rPr>
      </w:pPr>
      <w:r w:rsidRPr="00990CB0">
        <w:rPr>
          <w:rFonts w:ascii="Arial" w:hAnsi="Arial" w:cs="Arial"/>
          <w:sz w:val="20"/>
          <w:szCs w:val="20"/>
        </w:rPr>
        <w:t>En ese sentido, el Decreto Supremo establece que la</w:t>
      </w:r>
      <w:r w:rsidRPr="00990CB0">
        <w:rPr>
          <w:rFonts w:ascii="Arial" w:eastAsia="Times New Roman" w:hAnsi="Arial" w:cs="Arial"/>
          <w:sz w:val="20"/>
          <w:szCs w:val="20"/>
          <w:shd w:val="clear" w:color="auto" w:fill="FFFFFF"/>
          <w:lang w:eastAsia="es-PE"/>
        </w:rPr>
        <w:t xml:space="preserve"> </w:t>
      </w:r>
      <w:r w:rsidRPr="00990CB0">
        <w:rPr>
          <w:rFonts w:ascii="Arial" w:hAnsi="Arial" w:cs="Arial"/>
          <w:sz w:val="20"/>
          <w:szCs w:val="20"/>
        </w:rPr>
        <w:t xml:space="preserve">inscripción en el RECPO es obligatoria para comercializar oro. Además, se precisa que las </w:t>
      </w:r>
      <w:r w:rsidRPr="00990CB0">
        <w:rPr>
          <w:rFonts w:ascii="Arial" w:hAnsi="Arial" w:cs="Arial"/>
          <w:sz w:val="20"/>
          <w:szCs w:val="20"/>
          <w:shd w:val="clear" w:color="auto" w:fill="FFFFFF"/>
        </w:rPr>
        <w:t xml:space="preserve">personas naturales o jurídicas están obligadas a contar con inscripción en el RECPO para comercializar oro, pueden ser: 1) Aquellas personas que se dediquen a la compra-venta del oro: i) Acopiador, </w:t>
      </w:r>
      <w:proofErr w:type="spellStart"/>
      <w:r w:rsidRPr="00990CB0">
        <w:rPr>
          <w:rFonts w:ascii="Arial" w:hAnsi="Arial" w:cs="Arial"/>
          <w:sz w:val="20"/>
          <w:szCs w:val="20"/>
          <w:shd w:val="clear" w:color="auto" w:fill="FFFFFF"/>
        </w:rPr>
        <w:t>trader</w:t>
      </w:r>
      <w:proofErr w:type="spellEnd"/>
      <w:r w:rsidRPr="00990CB0">
        <w:rPr>
          <w:rFonts w:ascii="Arial" w:hAnsi="Arial" w:cs="Arial"/>
          <w:sz w:val="20"/>
          <w:szCs w:val="20"/>
          <w:shd w:val="clear" w:color="auto" w:fill="FFFFFF"/>
        </w:rPr>
        <w:t xml:space="preserve"> o intermediario; </w:t>
      </w:r>
      <w:proofErr w:type="spellStart"/>
      <w:r w:rsidRPr="00990CB0">
        <w:rPr>
          <w:rFonts w:ascii="Arial" w:hAnsi="Arial" w:cs="Arial"/>
          <w:sz w:val="20"/>
          <w:szCs w:val="20"/>
          <w:shd w:val="clear" w:color="auto" w:fill="FFFFFF"/>
        </w:rPr>
        <w:t>ii</w:t>
      </w:r>
      <w:proofErr w:type="spellEnd"/>
      <w:r w:rsidRPr="00990CB0">
        <w:rPr>
          <w:rFonts w:ascii="Arial" w:hAnsi="Arial" w:cs="Arial"/>
          <w:sz w:val="20"/>
          <w:szCs w:val="20"/>
          <w:shd w:val="clear" w:color="auto" w:fill="FFFFFF"/>
        </w:rPr>
        <w:t xml:space="preserve">) Procesador; o </w:t>
      </w:r>
      <w:proofErr w:type="spellStart"/>
      <w:r w:rsidRPr="00990CB0">
        <w:rPr>
          <w:rFonts w:ascii="Arial" w:hAnsi="Arial" w:cs="Arial"/>
          <w:sz w:val="20"/>
          <w:szCs w:val="20"/>
          <w:shd w:val="clear" w:color="auto" w:fill="FFFFFF"/>
        </w:rPr>
        <w:t>iii</w:t>
      </w:r>
      <w:proofErr w:type="spellEnd"/>
      <w:r w:rsidRPr="00990CB0">
        <w:rPr>
          <w:rFonts w:ascii="Arial" w:hAnsi="Arial" w:cs="Arial"/>
          <w:sz w:val="20"/>
          <w:szCs w:val="20"/>
          <w:shd w:val="clear" w:color="auto" w:fill="FFFFFF"/>
        </w:rPr>
        <w:t xml:space="preserve">) Planta de beneficio; y, 2)  Los agentes del Sistema Financiero, como bancos comerciales (lo que excluye al Banco de la Nación y al Banco Central de Reserva del Perú), cajas municipales y cooperativas de ahorro y crédito que adquieran oro para atesoramiento, es decir, que compren oro para acumularlo o resguardarlo sin ponerlo en circulación.   </w:t>
      </w:r>
    </w:p>
    <w:p w14:paraId="0F6BCDB4" w14:textId="35BF2BC9" w:rsidR="00116357" w:rsidRPr="00990CB0" w:rsidRDefault="00116357" w:rsidP="000558E9">
      <w:pPr>
        <w:pStyle w:val="Prrafodelista"/>
        <w:spacing w:after="0" w:line="240" w:lineRule="auto"/>
        <w:ind w:left="426"/>
        <w:jc w:val="both"/>
        <w:rPr>
          <w:rFonts w:ascii="Arial" w:eastAsia="Times New Roman" w:hAnsi="Arial" w:cs="Arial"/>
          <w:sz w:val="20"/>
          <w:szCs w:val="20"/>
          <w:shd w:val="clear" w:color="auto" w:fill="FFFFFF"/>
          <w:lang w:eastAsia="es-PE"/>
        </w:rPr>
      </w:pPr>
    </w:p>
    <w:p w14:paraId="17325F6B" w14:textId="6A372CC5" w:rsidR="00C815D6" w:rsidRPr="00990CB0" w:rsidRDefault="00964E96" w:rsidP="00964E96">
      <w:pPr>
        <w:pStyle w:val="Prrafodelista"/>
        <w:spacing w:after="0" w:line="240" w:lineRule="auto"/>
        <w:ind w:left="426"/>
        <w:jc w:val="both"/>
        <w:rPr>
          <w:rFonts w:ascii="Arial" w:eastAsia="Times New Roman" w:hAnsi="Arial" w:cs="Arial"/>
          <w:sz w:val="20"/>
          <w:szCs w:val="20"/>
          <w:shd w:val="clear" w:color="auto" w:fill="FFFFFF"/>
          <w:lang w:eastAsia="es-PE"/>
        </w:rPr>
      </w:pPr>
      <w:r w:rsidRPr="00990CB0">
        <w:rPr>
          <w:rFonts w:ascii="Arial" w:eastAsia="Times New Roman" w:hAnsi="Arial" w:cs="Arial"/>
          <w:sz w:val="20"/>
          <w:szCs w:val="20"/>
          <w:shd w:val="clear" w:color="auto" w:fill="FFFFFF"/>
          <w:lang w:eastAsia="es-PE"/>
        </w:rPr>
        <w:t xml:space="preserve">La norma </w:t>
      </w:r>
      <w:r w:rsidR="00661346" w:rsidRPr="00990CB0">
        <w:rPr>
          <w:rFonts w:ascii="Arial" w:eastAsia="Times New Roman" w:hAnsi="Arial" w:cs="Arial"/>
          <w:sz w:val="20"/>
          <w:szCs w:val="20"/>
          <w:shd w:val="clear" w:color="auto" w:fill="FFFFFF"/>
          <w:lang w:eastAsia="es-PE"/>
        </w:rPr>
        <w:t>señala,</w:t>
      </w:r>
      <w:r w:rsidRPr="00990CB0">
        <w:rPr>
          <w:rFonts w:ascii="Arial" w:eastAsia="Times New Roman" w:hAnsi="Arial" w:cs="Arial"/>
          <w:sz w:val="20"/>
          <w:szCs w:val="20"/>
          <w:shd w:val="clear" w:color="auto" w:fill="FFFFFF"/>
          <w:lang w:eastAsia="es-PE"/>
        </w:rPr>
        <w:t xml:space="preserve"> además</w:t>
      </w:r>
      <w:r w:rsidR="00146B2F" w:rsidRPr="00990CB0">
        <w:rPr>
          <w:rFonts w:ascii="Arial" w:eastAsia="Times New Roman" w:hAnsi="Arial" w:cs="Arial"/>
          <w:sz w:val="20"/>
          <w:szCs w:val="20"/>
          <w:shd w:val="clear" w:color="auto" w:fill="FFFFFF"/>
          <w:lang w:eastAsia="es-PE"/>
        </w:rPr>
        <w:t>,</w:t>
      </w:r>
      <w:r w:rsidRPr="00990CB0">
        <w:rPr>
          <w:rFonts w:ascii="Arial" w:eastAsia="Times New Roman" w:hAnsi="Arial" w:cs="Arial"/>
          <w:sz w:val="20"/>
          <w:szCs w:val="20"/>
          <w:shd w:val="clear" w:color="auto" w:fill="FFFFFF"/>
          <w:lang w:eastAsia="es-PE"/>
        </w:rPr>
        <w:t xml:space="preserve"> que el RECPO es </w:t>
      </w:r>
      <w:r w:rsidR="00C815D6" w:rsidRPr="00990CB0">
        <w:rPr>
          <w:rFonts w:ascii="Arial" w:eastAsia="Times New Roman" w:hAnsi="Arial" w:cs="Arial"/>
          <w:sz w:val="20"/>
          <w:szCs w:val="20"/>
          <w:shd w:val="clear" w:color="auto" w:fill="FFFFFF"/>
          <w:lang w:eastAsia="es-PE"/>
        </w:rPr>
        <w:t xml:space="preserve">administrado por el Ministerio de Energía y Minas, a través de la Dirección </w:t>
      </w:r>
      <w:r w:rsidRPr="00990CB0">
        <w:rPr>
          <w:rFonts w:ascii="Arial" w:eastAsia="Times New Roman" w:hAnsi="Arial" w:cs="Arial"/>
          <w:sz w:val="20"/>
          <w:szCs w:val="20"/>
          <w:shd w:val="clear" w:color="auto" w:fill="FFFFFF"/>
          <w:lang w:eastAsia="es-PE"/>
        </w:rPr>
        <w:t xml:space="preserve">General de Formalización Minera, en concordancia con la Primera Disposición Complementaria Final del Decreto Supremo N° </w:t>
      </w:r>
      <w:r w:rsidR="00450038" w:rsidRPr="00990CB0">
        <w:rPr>
          <w:rFonts w:ascii="Arial" w:eastAsia="Times New Roman" w:hAnsi="Arial" w:cs="Arial"/>
          <w:sz w:val="20"/>
          <w:szCs w:val="20"/>
          <w:shd w:val="clear" w:color="auto" w:fill="FFFFFF"/>
          <w:lang w:eastAsia="es-PE"/>
        </w:rPr>
        <w:t>018-2018-EM.</w:t>
      </w:r>
    </w:p>
    <w:p w14:paraId="02834199" w14:textId="77777777" w:rsidR="00450038" w:rsidRPr="00990CB0" w:rsidRDefault="00450038" w:rsidP="00964E96">
      <w:pPr>
        <w:pStyle w:val="Prrafodelista"/>
        <w:spacing w:after="0" w:line="240" w:lineRule="auto"/>
        <w:ind w:left="426"/>
        <w:jc w:val="both"/>
        <w:rPr>
          <w:rFonts w:ascii="Arial" w:eastAsia="Times New Roman" w:hAnsi="Arial" w:cs="Arial"/>
          <w:sz w:val="20"/>
          <w:szCs w:val="20"/>
          <w:shd w:val="clear" w:color="auto" w:fill="FFFFFF"/>
          <w:lang w:eastAsia="es-PE"/>
        </w:rPr>
      </w:pPr>
    </w:p>
    <w:p w14:paraId="00784721" w14:textId="15AA8FA3" w:rsidR="00450038" w:rsidRPr="00990CB0" w:rsidRDefault="00450038" w:rsidP="00964E96">
      <w:pPr>
        <w:pStyle w:val="Prrafodelista"/>
        <w:spacing w:after="0" w:line="240" w:lineRule="auto"/>
        <w:ind w:left="426"/>
        <w:jc w:val="both"/>
        <w:rPr>
          <w:rFonts w:ascii="Arial" w:eastAsia="Times New Roman" w:hAnsi="Arial" w:cs="Arial"/>
          <w:sz w:val="20"/>
          <w:szCs w:val="20"/>
          <w:shd w:val="clear" w:color="auto" w:fill="FFFFFF"/>
          <w:lang w:eastAsia="es-PE"/>
        </w:rPr>
      </w:pPr>
      <w:r w:rsidRPr="00990CB0">
        <w:rPr>
          <w:rFonts w:ascii="Arial" w:eastAsia="Times New Roman" w:hAnsi="Arial" w:cs="Arial"/>
          <w:sz w:val="20"/>
          <w:szCs w:val="20"/>
          <w:shd w:val="clear" w:color="auto" w:fill="FFFFFF"/>
          <w:lang w:eastAsia="es-PE"/>
        </w:rPr>
        <w:t xml:space="preserve">Asimismo, </w:t>
      </w:r>
      <w:r w:rsidR="00EF7057" w:rsidRPr="00990CB0">
        <w:rPr>
          <w:rFonts w:ascii="Arial" w:eastAsia="Times New Roman" w:hAnsi="Arial" w:cs="Arial"/>
          <w:sz w:val="20"/>
          <w:szCs w:val="20"/>
          <w:shd w:val="clear" w:color="auto" w:fill="FFFFFF"/>
          <w:lang w:eastAsia="es-PE"/>
        </w:rPr>
        <w:t>se señala que el RECPO constituye un registro único de naturaleza administrativa, cuya información es de acceso público a través de las plataformas virtuales pertinente</w:t>
      </w:r>
      <w:r w:rsidR="00146B2F" w:rsidRPr="00990CB0">
        <w:rPr>
          <w:rFonts w:ascii="Arial" w:eastAsia="Times New Roman" w:hAnsi="Arial" w:cs="Arial"/>
          <w:sz w:val="20"/>
          <w:szCs w:val="20"/>
          <w:shd w:val="clear" w:color="auto" w:fill="FFFFFF"/>
          <w:lang w:eastAsia="es-PE"/>
        </w:rPr>
        <w:t>s</w:t>
      </w:r>
      <w:r w:rsidR="00EF7057" w:rsidRPr="00990CB0">
        <w:rPr>
          <w:rFonts w:ascii="Arial" w:eastAsia="Times New Roman" w:hAnsi="Arial" w:cs="Arial"/>
          <w:sz w:val="20"/>
          <w:szCs w:val="20"/>
          <w:shd w:val="clear" w:color="auto" w:fill="FFFFFF"/>
          <w:lang w:eastAsia="es-PE"/>
        </w:rPr>
        <w:t xml:space="preserve">, salvo aquellos datos personales comprendidos dentro de los alcances de la Ley Nº 29733, Ley de Protección de Datos Personales. Es importante señalar </w:t>
      </w:r>
      <w:r w:rsidR="00146B2F" w:rsidRPr="00990CB0">
        <w:rPr>
          <w:rFonts w:ascii="Arial" w:eastAsia="Times New Roman" w:hAnsi="Arial" w:cs="Arial"/>
          <w:sz w:val="20"/>
          <w:szCs w:val="20"/>
          <w:shd w:val="clear" w:color="auto" w:fill="FFFFFF"/>
          <w:lang w:eastAsia="es-PE"/>
        </w:rPr>
        <w:t xml:space="preserve">que </w:t>
      </w:r>
      <w:r w:rsidR="00EF7057" w:rsidRPr="00990CB0">
        <w:rPr>
          <w:rFonts w:ascii="Arial" w:eastAsia="Times New Roman" w:hAnsi="Arial" w:cs="Arial"/>
          <w:sz w:val="20"/>
          <w:szCs w:val="20"/>
          <w:shd w:val="clear" w:color="auto" w:fill="FFFFFF"/>
          <w:lang w:eastAsia="es-PE"/>
        </w:rPr>
        <w:t>el reporte de las operaciones de compra</w:t>
      </w:r>
      <w:r w:rsidR="00146B2F" w:rsidRPr="00990CB0">
        <w:rPr>
          <w:rFonts w:ascii="Arial" w:eastAsia="Times New Roman" w:hAnsi="Arial" w:cs="Arial"/>
          <w:sz w:val="20"/>
          <w:szCs w:val="20"/>
          <w:shd w:val="clear" w:color="auto" w:fill="FFFFFF"/>
          <w:lang w:eastAsia="es-PE"/>
        </w:rPr>
        <w:t>-venta</w:t>
      </w:r>
      <w:r w:rsidR="00EF7057" w:rsidRPr="00990CB0">
        <w:rPr>
          <w:rFonts w:ascii="Arial" w:eastAsia="Times New Roman" w:hAnsi="Arial" w:cs="Arial"/>
          <w:sz w:val="20"/>
          <w:szCs w:val="20"/>
          <w:shd w:val="clear" w:color="auto" w:fill="FFFFFF"/>
          <w:lang w:eastAsia="es-PE"/>
        </w:rPr>
        <w:t xml:space="preserve"> del mineral aurífer</w:t>
      </w:r>
      <w:r w:rsidR="00146B2F" w:rsidRPr="00990CB0">
        <w:rPr>
          <w:rFonts w:ascii="Arial" w:eastAsia="Times New Roman" w:hAnsi="Arial" w:cs="Arial"/>
          <w:sz w:val="20"/>
          <w:szCs w:val="20"/>
          <w:shd w:val="clear" w:color="auto" w:fill="FFFFFF"/>
          <w:lang w:eastAsia="es-PE"/>
        </w:rPr>
        <w:t>o permitirá trazar</w:t>
      </w:r>
      <w:r w:rsidR="00F46007" w:rsidRPr="00990CB0">
        <w:rPr>
          <w:rFonts w:ascii="Arial" w:eastAsia="Times New Roman" w:hAnsi="Arial" w:cs="Arial"/>
          <w:sz w:val="20"/>
          <w:szCs w:val="20"/>
          <w:shd w:val="clear" w:color="auto" w:fill="FFFFFF"/>
          <w:lang w:eastAsia="es-PE"/>
        </w:rPr>
        <w:t xml:space="preserve"> la </w:t>
      </w:r>
      <w:r w:rsidR="00146B2F" w:rsidRPr="00990CB0">
        <w:rPr>
          <w:rFonts w:ascii="Arial" w:eastAsia="Times New Roman" w:hAnsi="Arial" w:cs="Arial"/>
          <w:sz w:val="20"/>
          <w:szCs w:val="20"/>
          <w:shd w:val="clear" w:color="auto" w:fill="FFFFFF"/>
          <w:lang w:eastAsia="es-PE"/>
        </w:rPr>
        <w:t xml:space="preserve">cadena de valor de la </w:t>
      </w:r>
      <w:r w:rsidR="00F46007" w:rsidRPr="00990CB0">
        <w:rPr>
          <w:rFonts w:ascii="Arial" w:eastAsia="Times New Roman" w:hAnsi="Arial" w:cs="Arial"/>
          <w:sz w:val="20"/>
          <w:szCs w:val="20"/>
          <w:shd w:val="clear" w:color="auto" w:fill="FFFFFF"/>
          <w:lang w:eastAsia="es-PE"/>
        </w:rPr>
        <w:t xml:space="preserve">producción </w:t>
      </w:r>
      <w:r w:rsidR="00661346" w:rsidRPr="00990CB0">
        <w:rPr>
          <w:rFonts w:ascii="Arial" w:eastAsia="Times New Roman" w:hAnsi="Arial" w:cs="Arial"/>
          <w:sz w:val="20"/>
          <w:szCs w:val="20"/>
          <w:shd w:val="clear" w:color="auto" w:fill="FFFFFF"/>
          <w:lang w:eastAsia="es-PE"/>
        </w:rPr>
        <w:t>aurífera,</w:t>
      </w:r>
      <w:r w:rsidR="00F46007" w:rsidRPr="00990CB0">
        <w:rPr>
          <w:rFonts w:ascii="Arial" w:eastAsia="Times New Roman" w:hAnsi="Arial" w:cs="Arial"/>
          <w:sz w:val="20"/>
          <w:szCs w:val="20"/>
          <w:shd w:val="clear" w:color="auto" w:fill="FFFFFF"/>
          <w:lang w:eastAsia="es-PE"/>
        </w:rPr>
        <w:t xml:space="preserve"> pero</w:t>
      </w:r>
      <w:r w:rsidR="00146B2F" w:rsidRPr="00990CB0">
        <w:rPr>
          <w:rFonts w:ascii="Arial" w:eastAsia="Times New Roman" w:hAnsi="Arial" w:cs="Arial"/>
          <w:sz w:val="20"/>
          <w:szCs w:val="20"/>
          <w:shd w:val="clear" w:color="auto" w:fill="FFFFFF"/>
          <w:lang w:eastAsia="es-PE"/>
        </w:rPr>
        <w:t>,</w:t>
      </w:r>
      <w:r w:rsidR="00F46007" w:rsidRPr="00990CB0">
        <w:rPr>
          <w:rFonts w:ascii="Arial" w:eastAsia="Times New Roman" w:hAnsi="Arial" w:cs="Arial"/>
          <w:sz w:val="20"/>
          <w:szCs w:val="20"/>
          <w:shd w:val="clear" w:color="auto" w:fill="FFFFFF"/>
          <w:lang w:eastAsia="es-PE"/>
        </w:rPr>
        <w:t xml:space="preserve"> además</w:t>
      </w:r>
      <w:r w:rsidR="00146B2F" w:rsidRPr="00990CB0">
        <w:rPr>
          <w:rFonts w:ascii="Arial" w:eastAsia="Times New Roman" w:hAnsi="Arial" w:cs="Arial"/>
          <w:sz w:val="20"/>
          <w:szCs w:val="20"/>
          <w:shd w:val="clear" w:color="auto" w:fill="FFFFFF"/>
          <w:lang w:eastAsia="es-PE"/>
        </w:rPr>
        <w:t xml:space="preserve"> permitirá</w:t>
      </w:r>
      <w:r w:rsidR="00F46007" w:rsidRPr="00990CB0">
        <w:rPr>
          <w:rFonts w:ascii="Arial" w:eastAsia="Times New Roman" w:hAnsi="Arial" w:cs="Arial"/>
          <w:sz w:val="20"/>
          <w:szCs w:val="20"/>
          <w:shd w:val="clear" w:color="auto" w:fill="FFFFFF"/>
          <w:lang w:eastAsia="es-PE"/>
        </w:rPr>
        <w:t xml:space="preserve"> </w:t>
      </w:r>
      <w:r w:rsidR="00146B2F" w:rsidRPr="00990CB0">
        <w:rPr>
          <w:rFonts w:ascii="Arial" w:eastAsia="Times New Roman" w:hAnsi="Arial" w:cs="Arial"/>
          <w:sz w:val="20"/>
          <w:szCs w:val="20"/>
          <w:shd w:val="clear" w:color="auto" w:fill="FFFFFF"/>
          <w:lang w:eastAsia="es-PE"/>
        </w:rPr>
        <w:t xml:space="preserve">determinar </w:t>
      </w:r>
      <w:r w:rsidR="00F46007" w:rsidRPr="00990CB0">
        <w:rPr>
          <w:rFonts w:ascii="Arial" w:eastAsia="Times New Roman" w:hAnsi="Arial" w:cs="Arial"/>
          <w:sz w:val="20"/>
          <w:szCs w:val="20"/>
          <w:shd w:val="clear" w:color="auto" w:fill="FFFFFF"/>
          <w:lang w:eastAsia="es-PE"/>
        </w:rPr>
        <w:t xml:space="preserve">la cantidad de mercancía en movimiento, peso, ley, </w:t>
      </w:r>
      <w:r w:rsidR="006434AE" w:rsidRPr="00990CB0">
        <w:rPr>
          <w:rFonts w:ascii="Arial" w:eastAsia="Times New Roman" w:hAnsi="Arial" w:cs="Arial"/>
          <w:sz w:val="20"/>
          <w:szCs w:val="20"/>
          <w:shd w:val="clear" w:color="auto" w:fill="FFFFFF"/>
          <w:lang w:eastAsia="es-PE"/>
        </w:rPr>
        <w:t xml:space="preserve">valor, entre otros, información </w:t>
      </w:r>
      <w:r w:rsidR="00146B2F" w:rsidRPr="00990CB0">
        <w:rPr>
          <w:rFonts w:ascii="Arial" w:eastAsia="Times New Roman" w:hAnsi="Arial" w:cs="Arial"/>
          <w:sz w:val="20"/>
          <w:szCs w:val="20"/>
          <w:shd w:val="clear" w:color="auto" w:fill="FFFFFF"/>
          <w:lang w:eastAsia="es-PE"/>
        </w:rPr>
        <w:t>que,</w:t>
      </w:r>
      <w:r w:rsidR="006434AE" w:rsidRPr="00990CB0">
        <w:rPr>
          <w:rFonts w:ascii="Arial" w:eastAsia="Times New Roman" w:hAnsi="Arial" w:cs="Arial"/>
          <w:sz w:val="20"/>
          <w:szCs w:val="20"/>
          <w:shd w:val="clear" w:color="auto" w:fill="FFFFFF"/>
          <w:lang w:eastAsia="es-PE"/>
        </w:rPr>
        <w:t xml:space="preserve"> </w:t>
      </w:r>
      <w:r w:rsidR="00D534CE" w:rsidRPr="00990CB0">
        <w:rPr>
          <w:rFonts w:ascii="Arial" w:eastAsia="Times New Roman" w:hAnsi="Arial" w:cs="Arial"/>
          <w:sz w:val="20"/>
          <w:szCs w:val="20"/>
          <w:shd w:val="clear" w:color="auto" w:fill="FFFFFF"/>
          <w:lang w:eastAsia="es-PE"/>
        </w:rPr>
        <w:t xml:space="preserve">dado su carácter confidencial, </w:t>
      </w:r>
      <w:r w:rsidR="006434AE" w:rsidRPr="00990CB0">
        <w:rPr>
          <w:rFonts w:ascii="Arial" w:eastAsia="Times New Roman" w:hAnsi="Arial" w:cs="Arial"/>
          <w:sz w:val="20"/>
          <w:szCs w:val="20"/>
          <w:shd w:val="clear" w:color="auto" w:fill="FFFFFF"/>
          <w:lang w:eastAsia="es-PE"/>
        </w:rPr>
        <w:t xml:space="preserve">no podrá ser de acceso público, en el marco de la antes referida Ley. </w:t>
      </w:r>
      <w:r w:rsidR="00EF7057" w:rsidRPr="00990CB0">
        <w:rPr>
          <w:rFonts w:ascii="Arial" w:eastAsia="Times New Roman" w:hAnsi="Arial" w:cs="Arial"/>
          <w:sz w:val="20"/>
          <w:szCs w:val="20"/>
          <w:shd w:val="clear" w:color="auto" w:fill="FFFFFF"/>
          <w:lang w:eastAsia="es-PE"/>
        </w:rPr>
        <w:t xml:space="preserve"> </w:t>
      </w:r>
    </w:p>
    <w:p w14:paraId="214D677A" w14:textId="77777777" w:rsidR="00C815D6" w:rsidRPr="00990CB0" w:rsidRDefault="00C815D6" w:rsidP="00C815D6">
      <w:pPr>
        <w:spacing w:after="0" w:line="240" w:lineRule="auto"/>
        <w:jc w:val="both"/>
        <w:rPr>
          <w:rFonts w:ascii="Arial" w:eastAsia="Times New Roman" w:hAnsi="Arial" w:cs="Arial"/>
          <w:sz w:val="20"/>
          <w:szCs w:val="20"/>
          <w:shd w:val="clear" w:color="auto" w:fill="FFFFFF"/>
          <w:lang w:eastAsia="es-PE"/>
        </w:rPr>
      </w:pPr>
    </w:p>
    <w:p w14:paraId="31877D6B" w14:textId="3615A183" w:rsidR="00FB72B8" w:rsidRPr="00990CB0" w:rsidRDefault="00D534CE" w:rsidP="005A3237">
      <w:pPr>
        <w:spacing w:after="0" w:line="240" w:lineRule="auto"/>
        <w:ind w:left="426"/>
        <w:jc w:val="both"/>
        <w:rPr>
          <w:rFonts w:ascii="Arial" w:eastAsia="Times New Roman" w:hAnsi="Arial" w:cs="Arial"/>
          <w:sz w:val="20"/>
          <w:szCs w:val="20"/>
          <w:shd w:val="clear" w:color="auto" w:fill="FFFFFF"/>
          <w:lang w:eastAsia="es-PE"/>
        </w:rPr>
      </w:pPr>
      <w:r w:rsidRPr="00990CB0">
        <w:rPr>
          <w:rFonts w:ascii="Arial" w:eastAsia="Times New Roman" w:hAnsi="Arial" w:cs="Arial"/>
          <w:sz w:val="20"/>
          <w:szCs w:val="20"/>
          <w:shd w:val="clear" w:color="auto" w:fill="FFFFFF"/>
          <w:lang w:eastAsia="es-PE"/>
        </w:rPr>
        <w:t>El establecimiento de requisitos para el ingreso al RECPO, pretende sincerar el universo de personas dedicadas a la co</w:t>
      </w:r>
      <w:r w:rsidR="00FB72B8" w:rsidRPr="00990CB0">
        <w:rPr>
          <w:rFonts w:ascii="Arial" w:eastAsia="Times New Roman" w:hAnsi="Arial" w:cs="Arial"/>
          <w:sz w:val="20"/>
          <w:szCs w:val="20"/>
          <w:shd w:val="clear" w:color="auto" w:fill="FFFFFF"/>
          <w:lang w:eastAsia="es-PE"/>
        </w:rPr>
        <w:t xml:space="preserve">mercialización del oro, </w:t>
      </w:r>
      <w:r w:rsidR="00146B2F" w:rsidRPr="00990CB0">
        <w:rPr>
          <w:rFonts w:ascii="Arial" w:eastAsia="Times New Roman" w:hAnsi="Arial" w:cs="Arial"/>
          <w:sz w:val="20"/>
          <w:szCs w:val="20"/>
          <w:shd w:val="clear" w:color="auto" w:fill="FFFFFF"/>
          <w:lang w:eastAsia="es-PE"/>
        </w:rPr>
        <w:t>reduciendo</w:t>
      </w:r>
      <w:r w:rsidR="00FB72B8" w:rsidRPr="00990CB0">
        <w:rPr>
          <w:rFonts w:ascii="Arial" w:eastAsia="Times New Roman" w:hAnsi="Arial" w:cs="Arial"/>
          <w:sz w:val="20"/>
          <w:szCs w:val="20"/>
          <w:shd w:val="clear" w:color="auto" w:fill="FFFFFF"/>
          <w:lang w:eastAsia="es-PE"/>
        </w:rPr>
        <w:t xml:space="preserve"> así</w:t>
      </w:r>
      <w:r w:rsidR="00146B2F" w:rsidRPr="00990CB0">
        <w:rPr>
          <w:rFonts w:ascii="Arial" w:eastAsia="Times New Roman" w:hAnsi="Arial" w:cs="Arial"/>
          <w:sz w:val="20"/>
          <w:szCs w:val="20"/>
          <w:shd w:val="clear" w:color="auto" w:fill="FFFFFF"/>
          <w:lang w:eastAsia="es-PE"/>
        </w:rPr>
        <w:t>,</w:t>
      </w:r>
      <w:r w:rsidR="00FB72B8" w:rsidRPr="00990CB0">
        <w:rPr>
          <w:rFonts w:ascii="Arial" w:eastAsia="Times New Roman" w:hAnsi="Arial" w:cs="Arial"/>
          <w:sz w:val="20"/>
          <w:szCs w:val="20"/>
          <w:shd w:val="clear" w:color="auto" w:fill="FFFFFF"/>
          <w:lang w:eastAsia="es-PE"/>
        </w:rPr>
        <w:t xml:space="preserve"> el riesgo de compradores que tengan comportamiento</w:t>
      </w:r>
      <w:r w:rsidR="005A3237" w:rsidRPr="00990CB0">
        <w:rPr>
          <w:rFonts w:ascii="Arial" w:eastAsia="Times New Roman" w:hAnsi="Arial" w:cs="Arial"/>
          <w:sz w:val="20"/>
          <w:szCs w:val="20"/>
          <w:shd w:val="clear" w:color="auto" w:fill="FFFFFF"/>
          <w:lang w:eastAsia="es-PE"/>
        </w:rPr>
        <w:t>s</w:t>
      </w:r>
      <w:r w:rsidR="00FB72B8" w:rsidRPr="00990CB0">
        <w:rPr>
          <w:rFonts w:ascii="Arial" w:eastAsia="Times New Roman" w:hAnsi="Arial" w:cs="Arial"/>
          <w:sz w:val="20"/>
          <w:szCs w:val="20"/>
          <w:shd w:val="clear" w:color="auto" w:fill="FFFFFF"/>
          <w:lang w:eastAsia="es-PE"/>
        </w:rPr>
        <w:t xml:space="preserve"> </w:t>
      </w:r>
      <w:r w:rsidR="005A3237" w:rsidRPr="00990CB0">
        <w:rPr>
          <w:rFonts w:ascii="Arial" w:eastAsia="Times New Roman" w:hAnsi="Arial" w:cs="Arial"/>
          <w:sz w:val="20"/>
          <w:szCs w:val="20"/>
          <w:shd w:val="clear" w:color="auto" w:fill="FFFFFF"/>
          <w:lang w:eastAsia="es-PE"/>
        </w:rPr>
        <w:t xml:space="preserve">irregulares </w:t>
      </w:r>
      <w:r w:rsidR="00FB72B8" w:rsidRPr="00990CB0">
        <w:rPr>
          <w:rFonts w:ascii="Arial" w:eastAsia="Times New Roman" w:hAnsi="Arial" w:cs="Arial"/>
          <w:sz w:val="20"/>
          <w:szCs w:val="20"/>
          <w:shd w:val="clear" w:color="auto" w:fill="FFFFFF"/>
          <w:lang w:eastAsia="es-PE"/>
        </w:rPr>
        <w:t>dentro de la cadena de comercialización, como es el caso de empresas limpiadoras, comisionistas y/o intermediarias y empresas fantasmas.</w:t>
      </w:r>
      <w:r w:rsidRPr="00990CB0">
        <w:rPr>
          <w:rFonts w:ascii="Arial" w:eastAsia="Times New Roman" w:hAnsi="Arial" w:cs="Arial"/>
          <w:sz w:val="20"/>
          <w:szCs w:val="20"/>
          <w:shd w:val="clear" w:color="auto" w:fill="FFFFFF"/>
          <w:lang w:eastAsia="es-PE"/>
        </w:rPr>
        <w:t xml:space="preserve"> </w:t>
      </w:r>
    </w:p>
    <w:p w14:paraId="35E35138" w14:textId="77777777" w:rsidR="00FB72B8" w:rsidRPr="00990CB0" w:rsidRDefault="00FB72B8" w:rsidP="00EA48A9">
      <w:pPr>
        <w:spacing w:after="0" w:line="240" w:lineRule="auto"/>
        <w:jc w:val="both"/>
        <w:rPr>
          <w:rFonts w:ascii="Arial" w:eastAsia="Times New Roman" w:hAnsi="Arial" w:cs="Arial"/>
          <w:sz w:val="20"/>
          <w:szCs w:val="20"/>
          <w:shd w:val="clear" w:color="auto" w:fill="FFFFFF"/>
          <w:lang w:eastAsia="es-PE"/>
        </w:rPr>
      </w:pPr>
    </w:p>
    <w:p w14:paraId="6CAF9D48" w14:textId="3D7AB261" w:rsidR="00C815D6" w:rsidRPr="00990CB0" w:rsidRDefault="00570FF4" w:rsidP="0026041A">
      <w:pPr>
        <w:spacing w:after="0" w:line="240" w:lineRule="auto"/>
        <w:ind w:left="426"/>
        <w:jc w:val="both"/>
        <w:rPr>
          <w:rFonts w:ascii="Arial" w:eastAsia="Times New Roman" w:hAnsi="Arial" w:cs="Arial"/>
          <w:bCs/>
          <w:sz w:val="20"/>
          <w:szCs w:val="20"/>
          <w:lang w:eastAsia="es-PE"/>
        </w:rPr>
      </w:pPr>
      <w:r w:rsidRPr="00990CB0">
        <w:rPr>
          <w:rFonts w:ascii="Arial" w:eastAsia="Times New Roman" w:hAnsi="Arial" w:cs="Arial"/>
          <w:sz w:val="20"/>
          <w:szCs w:val="20"/>
          <w:shd w:val="clear" w:color="auto" w:fill="FFFFFF"/>
          <w:lang w:eastAsia="es-PE"/>
        </w:rPr>
        <w:t xml:space="preserve">De los requisitos propuestos para inscribirse en el RECPO, deben resaltarse dos, </w:t>
      </w:r>
      <w:r w:rsidR="001B67D2" w:rsidRPr="00990CB0">
        <w:rPr>
          <w:rFonts w:ascii="Arial" w:eastAsia="Times New Roman" w:hAnsi="Arial" w:cs="Arial"/>
          <w:sz w:val="20"/>
          <w:szCs w:val="20"/>
          <w:shd w:val="clear" w:color="auto" w:fill="FFFFFF"/>
          <w:lang w:eastAsia="es-PE"/>
        </w:rPr>
        <w:t xml:space="preserve">1) </w:t>
      </w:r>
      <w:r w:rsidRPr="00990CB0">
        <w:rPr>
          <w:rFonts w:ascii="Arial" w:eastAsia="Times New Roman" w:hAnsi="Arial" w:cs="Arial"/>
          <w:sz w:val="20"/>
          <w:szCs w:val="20"/>
          <w:shd w:val="clear" w:color="auto" w:fill="FFFFFF"/>
          <w:lang w:eastAsia="es-PE"/>
        </w:rPr>
        <w:t>aquellos referidos a determinar la existencia real de una empresa</w:t>
      </w:r>
      <w:r w:rsidR="007E3320" w:rsidRPr="00990CB0">
        <w:rPr>
          <w:rFonts w:ascii="Arial" w:eastAsia="Times New Roman" w:hAnsi="Arial" w:cs="Arial"/>
          <w:sz w:val="20"/>
          <w:szCs w:val="20"/>
          <w:shd w:val="clear" w:color="auto" w:fill="FFFFFF"/>
          <w:lang w:eastAsia="es-PE"/>
        </w:rPr>
        <w:t xml:space="preserve"> y de sus operaciones, como es el caso de</w:t>
      </w:r>
      <w:r w:rsidR="00661346" w:rsidRPr="00990CB0">
        <w:rPr>
          <w:rFonts w:ascii="Arial" w:eastAsia="Times New Roman" w:hAnsi="Arial" w:cs="Arial"/>
          <w:sz w:val="20"/>
          <w:szCs w:val="20"/>
          <w:shd w:val="clear" w:color="auto" w:fill="FFFFFF"/>
          <w:lang w:eastAsia="es-PE"/>
        </w:rPr>
        <w:t xml:space="preserve"> las</w:t>
      </w:r>
      <w:r w:rsidRPr="00990CB0">
        <w:rPr>
          <w:rFonts w:ascii="Arial" w:eastAsia="Times New Roman" w:hAnsi="Arial" w:cs="Arial"/>
          <w:bCs/>
          <w:sz w:val="20"/>
          <w:szCs w:val="20"/>
          <w:lang w:eastAsia="es-PE"/>
        </w:rPr>
        <w:t xml:space="preserve"> personas jurídicas, </w:t>
      </w:r>
      <w:r w:rsidR="00661346" w:rsidRPr="00990CB0">
        <w:rPr>
          <w:rFonts w:ascii="Arial" w:eastAsia="Times New Roman" w:hAnsi="Arial" w:cs="Arial"/>
          <w:bCs/>
          <w:sz w:val="20"/>
          <w:szCs w:val="20"/>
          <w:lang w:eastAsia="es-PE"/>
        </w:rPr>
        <w:t xml:space="preserve">en el cual, se debe acreditar </w:t>
      </w:r>
      <w:r w:rsidRPr="00990CB0">
        <w:rPr>
          <w:rFonts w:ascii="Arial" w:eastAsia="Times New Roman" w:hAnsi="Arial" w:cs="Arial"/>
          <w:bCs/>
          <w:sz w:val="20"/>
          <w:szCs w:val="20"/>
          <w:lang w:eastAsia="es-PE"/>
        </w:rPr>
        <w:t xml:space="preserve">copia literal de la constitución de la empresa </w:t>
      </w:r>
      <w:r w:rsidR="007E3320" w:rsidRPr="00990CB0">
        <w:rPr>
          <w:rFonts w:ascii="Arial" w:eastAsia="Times New Roman" w:hAnsi="Arial" w:cs="Arial"/>
          <w:bCs/>
          <w:sz w:val="20"/>
          <w:szCs w:val="20"/>
          <w:lang w:eastAsia="es-PE"/>
        </w:rPr>
        <w:t xml:space="preserve">emitida por la SUNARP y, además, el </w:t>
      </w:r>
      <w:r w:rsidRPr="00990CB0">
        <w:rPr>
          <w:rFonts w:ascii="Arial" w:eastAsia="Times New Roman" w:hAnsi="Arial" w:cs="Arial"/>
          <w:bCs/>
          <w:sz w:val="20"/>
          <w:szCs w:val="20"/>
          <w:lang w:eastAsia="es-PE"/>
        </w:rPr>
        <w:t>objeto social registrado debe contemplar, de manera expresa, actividades relacionadas a l</w:t>
      </w:r>
      <w:r w:rsidR="007E3320" w:rsidRPr="00990CB0">
        <w:rPr>
          <w:rFonts w:ascii="Arial" w:eastAsia="Times New Roman" w:hAnsi="Arial" w:cs="Arial"/>
          <w:bCs/>
          <w:sz w:val="20"/>
          <w:szCs w:val="20"/>
          <w:lang w:eastAsia="es-PE"/>
        </w:rPr>
        <w:t>a comercialización de minerales y, que se deba</w:t>
      </w:r>
      <w:r w:rsidRPr="00990CB0">
        <w:rPr>
          <w:rFonts w:ascii="Arial" w:eastAsia="Times New Roman" w:hAnsi="Arial" w:cs="Arial"/>
          <w:bCs/>
          <w:sz w:val="20"/>
          <w:szCs w:val="20"/>
          <w:lang w:eastAsia="es-PE"/>
        </w:rPr>
        <w:t xml:space="preserve"> acreditar un capital social suscrito y paga</w:t>
      </w:r>
      <w:r w:rsidR="007E3320" w:rsidRPr="00990CB0">
        <w:rPr>
          <w:rFonts w:ascii="Arial" w:eastAsia="Times New Roman" w:hAnsi="Arial" w:cs="Arial"/>
          <w:bCs/>
          <w:sz w:val="20"/>
          <w:szCs w:val="20"/>
          <w:lang w:eastAsia="es-PE"/>
        </w:rPr>
        <w:t>do mínimo</w:t>
      </w:r>
      <w:r w:rsidR="001B67D2" w:rsidRPr="00990CB0">
        <w:rPr>
          <w:rFonts w:ascii="Arial" w:eastAsia="Times New Roman" w:hAnsi="Arial" w:cs="Arial"/>
          <w:bCs/>
          <w:sz w:val="20"/>
          <w:szCs w:val="20"/>
          <w:lang w:eastAsia="es-PE"/>
        </w:rPr>
        <w:t xml:space="preserve"> de 22 UIT </w:t>
      </w:r>
      <w:r w:rsidR="00661346" w:rsidRPr="00990CB0">
        <w:rPr>
          <w:rFonts w:ascii="Arial" w:eastAsia="Times New Roman" w:hAnsi="Arial" w:cs="Arial"/>
          <w:bCs/>
          <w:sz w:val="20"/>
          <w:szCs w:val="20"/>
          <w:lang w:eastAsia="es-PE"/>
        </w:rPr>
        <w:t xml:space="preserve">monto que, </w:t>
      </w:r>
      <w:r w:rsidR="001B67D2" w:rsidRPr="00990CB0">
        <w:rPr>
          <w:rFonts w:ascii="Arial" w:eastAsia="Times New Roman" w:hAnsi="Arial" w:cs="Arial"/>
          <w:bCs/>
          <w:sz w:val="20"/>
          <w:szCs w:val="20"/>
          <w:lang w:eastAsia="es-PE"/>
        </w:rPr>
        <w:t xml:space="preserve">coincide con el tope máximo </w:t>
      </w:r>
      <w:r w:rsidR="00661346" w:rsidRPr="00990CB0">
        <w:rPr>
          <w:rFonts w:ascii="Arial" w:eastAsia="Times New Roman" w:hAnsi="Arial" w:cs="Arial"/>
          <w:bCs/>
          <w:sz w:val="20"/>
          <w:szCs w:val="20"/>
          <w:lang w:eastAsia="es-PE"/>
        </w:rPr>
        <w:t xml:space="preserve">establecido para que una unidad económica se encuentre comprendido dentro del régimen </w:t>
      </w:r>
      <w:r w:rsidR="001B67D2" w:rsidRPr="00990CB0">
        <w:rPr>
          <w:rFonts w:ascii="Arial" w:eastAsia="Times New Roman" w:hAnsi="Arial" w:cs="Arial"/>
          <w:bCs/>
          <w:sz w:val="20"/>
          <w:szCs w:val="20"/>
          <w:lang w:eastAsia="es-PE"/>
        </w:rPr>
        <w:t>tributario</w:t>
      </w:r>
      <w:r w:rsidR="00661346" w:rsidRPr="00990CB0">
        <w:rPr>
          <w:rFonts w:ascii="Arial" w:eastAsia="Times New Roman" w:hAnsi="Arial" w:cs="Arial"/>
          <w:bCs/>
          <w:sz w:val="20"/>
          <w:szCs w:val="20"/>
          <w:lang w:eastAsia="es-PE"/>
        </w:rPr>
        <w:t>:</w:t>
      </w:r>
      <w:r w:rsidR="001B67D2" w:rsidRPr="00990CB0">
        <w:rPr>
          <w:rFonts w:ascii="Arial" w:eastAsia="Times New Roman" w:hAnsi="Arial" w:cs="Arial"/>
          <w:bCs/>
          <w:sz w:val="20"/>
          <w:szCs w:val="20"/>
          <w:lang w:eastAsia="es-PE"/>
        </w:rPr>
        <w:t xml:space="preserve"> Régimen Único Simplificado (RUS)</w:t>
      </w:r>
      <w:r w:rsidR="00661346" w:rsidRPr="00990CB0">
        <w:rPr>
          <w:rFonts w:ascii="Arial" w:eastAsia="Times New Roman" w:hAnsi="Arial" w:cs="Arial"/>
          <w:bCs/>
          <w:sz w:val="20"/>
          <w:szCs w:val="20"/>
          <w:lang w:eastAsia="es-PE"/>
        </w:rPr>
        <w:t>. El establecimiento de estos requisitos, surge de la necesidad de</w:t>
      </w:r>
      <w:r w:rsidR="00B35E2F" w:rsidRPr="00990CB0">
        <w:rPr>
          <w:rFonts w:ascii="Arial" w:eastAsia="Times New Roman" w:hAnsi="Arial" w:cs="Arial"/>
          <w:bCs/>
          <w:sz w:val="20"/>
          <w:szCs w:val="20"/>
          <w:lang w:eastAsia="es-PE"/>
        </w:rPr>
        <w:t xml:space="preserve"> evitar la constituci</w:t>
      </w:r>
      <w:r w:rsidR="001B67D2" w:rsidRPr="00990CB0">
        <w:rPr>
          <w:rFonts w:ascii="Arial" w:eastAsia="Times New Roman" w:hAnsi="Arial" w:cs="Arial"/>
          <w:bCs/>
          <w:sz w:val="20"/>
          <w:szCs w:val="20"/>
          <w:lang w:eastAsia="es-PE"/>
        </w:rPr>
        <w:t>ón de empresas golondrinas</w:t>
      </w:r>
      <w:r w:rsidR="00661346" w:rsidRPr="00990CB0">
        <w:rPr>
          <w:rFonts w:ascii="Arial" w:eastAsia="Times New Roman" w:hAnsi="Arial" w:cs="Arial"/>
          <w:bCs/>
          <w:sz w:val="20"/>
          <w:szCs w:val="20"/>
          <w:lang w:eastAsia="es-PE"/>
        </w:rPr>
        <w:t xml:space="preserve"> y de evitar que compradores asumen comportamientos irregulares como constituir empresas limpiadoras, comisionistas o fantasmas</w:t>
      </w:r>
      <w:r w:rsidR="00661346" w:rsidRPr="00990CB0">
        <w:rPr>
          <w:rStyle w:val="Refdenotaalpie"/>
          <w:rFonts w:ascii="Arial" w:eastAsia="Times New Roman" w:hAnsi="Arial" w:cs="Arial"/>
          <w:sz w:val="20"/>
          <w:szCs w:val="20"/>
          <w:shd w:val="clear" w:color="auto" w:fill="FFFFFF"/>
          <w:lang w:eastAsia="es-PE"/>
        </w:rPr>
        <w:footnoteReference w:id="11"/>
      </w:r>
      <w:r w:rsidR="001B67D2" w:rsidRPr="00990CB0">
        <w:rPr>
          <w:rFonts w:ascii="Arial" w:eastAsia="Times New Roman" w:hAnsi="Arial" w:cs="Arial"/>
          <w:bCs/>
          <w:sz w:val="20"/>
          <w:szCs w:val="20"/>
          <w:lang w:eastAsia="es-PE"/>
        </w:rPr>
        <w:t xml:space="preserve">; y </w:t>
      </w:r>
      <w:r w:rsidR="00661346" w:rsidRPr="00990CB0">
        <w:rPr>
          <w:rFonts w:ascii="Arial" w:eastAsia="Times New Roman" w:hAnsi="Arial" w:cs="Arial"/>
          <w:bCs/>
          <w:sz w:val="20"/>
          <w:szCs w:val="20"/>
          <w:lang w:eastAsia="es-PE"/>
        </w:rPr>
        <w:t xml:space="preserve">asimismo, se han </w:t>
      </w:r>
      <w:r w:rsidR="00661346" w:rsidRPr="00990CB0">
        <w:rPr>
          <w:rFonts w:ascii="Arial" w:eastAsia="Times New Roman" w:hAnsi="Arial" w:cs="Arial"/>
          <w:bCs/>
          <w:sz w:val="20"/>
          <w:szCs w:val="20"/>
          <w:lang w:eastAsia="es-PE"/>
        </w:rPr>
        <w:lastRenderedPageBreak/>
        <w:t xml:space="preserve">establecido </w:t>
      </w:r>
      <w:r w:rsidR="001B67D2" w:rsidRPr="00990CB0">
        <w:rPr>
          <w:rFonts w:ascii="Arial" w:eastAsia="Times New Roman" w:hAnsi="Arial" w:cs="Arial"/>
          <w:bCs/>
          <w:sz w:val="20"/>
          <w:szCs w:val="20"/>
          <w:lang w:eastAsia="es-PE"/>
        </w:rPr>
        <w:t xml:space="preserve"> </w:t>
      </w:r>
      <w:r w:rsidR="00661346" w:rsidRPr="00990CB0">
        <w:rPr>
          <w:rFonts w:ascii="Arial" w:eastAsia="Times New Roman" w:hAnsi="Arial" w:cs="Arial"/>
          <w:bCs/>
          <w:sz w:val="20"/>
          <w:szCs w:val="20"/>
          <w:lang w:eastAsia="es-PE"/>
        </w:rPr>
        <w:t xml:space="preserve">2) </w:t>
      </w:r>
      <w:r w:rsidR="00EA48A9" w:rsidRPr="00990CB0">
        <w:rPr>
          <w:rFonts w:ascii="Arial" w:eastAsia="Times New Roman" w:hAnsi="Arial" w:cs="Arial"/>
          <w:bCs/>
          <w:sz w:val="20"/>
          <w:szCs w:val="20"/>
          <w:lang w:eastAsia="es-PE"/>
        </w:rPr>
        <w:t>otros requisitos dirigidos a determinar la confiabilidad del comercializador del oro, como el i) r</w:t>
      </w:r>
      <w:r w:rsidRPr="00990CB0">
        <w:rPr>
          <w:rFonts w:ascii="Arial" w:eastAsia="Times New Roman" w:hAnsi="Arial" w:cs="Arial"/>
          <w:bCs/>
          <w:sz w:val="20"/>
          <w:szCs w:val="20"/>
          <w:lang w:eastAsia="es-PE"/>
        </w:rPr>
        <w:t>eporte de deuda en el Sistema Financiero generado a través de la Superintendencia de Banca y Seguros-SBS que acredite una calif</w:t>
      </w:r>
      <w:r w:rsidR="00EA48A9" w:rsidRPr="00990CB0">
        <w:rPr>
          <w:rFonts w:ascii="Arial" w:eastAsia="Times New Roman" w:hAnsi="Arial" w:cs="Arial"/>
          <w:bCs/>
          <w:sz w:val="20"/>
          <w:szCs w:val="20"/>
          <w:lang w:eastAsia="es-PE"/>
        </w:rPr>
        <w:t>icación de “no muy alto riesgo”, ii) el r</w:t>
      </w:r>
      <w:r w:rsidRPr="00990CB0">
        <w:rPr>
          <w:rFonts w:ascii="Arial" w:eastAsia="Times New Roman" w:hAnsi="Arial" w:cs="Arial"/>
          <w:bCs/>
          <w:sz w:val="20"/>
          <w:szCs w:val="20"/>
          <w:lang w:eastAsia="es-PE"/>
        </w:rPr>
        <w:t xml:space="preserve">eporte Tributario para Terceros generado a través de la Plataforma Clave Sol de la SUNAT, </w:t>
      </w:r>
      <w:r w:rsidR="00EA48A9" w:rsidRPr="00990CB0">
        <w:rPr>
          <w:rFonts w:ascii="Arial" w:eastAsia="Times New Roman" w:hAnsi="Arial" w:cs="Arial"/>
          <w:bCs/>
          <w:sz w:val="20"/>
          <w:szCs w:val="20"/>
          <w:lang w:eastAsia="es-PE"/>
        </w:rPr>
        <w:t>y, iii) la d</w:t>
      </w:r>
      <w:r w:rsidRPr="00990CB0">
        <w:rPr>
          <w:rFonts w:ascii="Arial" w:eastAsia="Times New Roman" w:hAnsi="Arial" w:cs="Arial"/>
          <w:bCs/>
          <w:sz w:val="20"/>
          <w:szCs w:val="20"/>
          <w:lang w:eastAsia="es-PE"/>
        </w:rPr>
        <w:t>eclaración Jurada de impuesto a la renta del año inmediatamente anterior a la fecha de inscripción</w:t>
      </w:r>
      <w:r w:rsidR="00661346" w:rsidRPr="00990CB0">
        <w:rPr>
          <w:rFonts w:ascii="Arial" w:eastAsia="Times New Roman" w:hAnsi="Arial" w:cs="Arial"/>
          <w:bCs/>
          <w:sz w:val="20"/>
          <w:szCs w:val="20"/>
          <w:lang w:eastAsia="es-PE"/>
        </w:rPr>
        <w:t>, cuando no se retrate de empresas recién constituidas.</w:t>
      </w:r>
    </w:p>
    <w:p w14:paraId="2831C3B3" w14:textId="77777777" w:rsidR="0026041A" w:rsidRPr="00990CB0" w:rsidRDefault="0026041A" w:rsidP="0026041A">
      <w:pPr>
        <w:spacing w:after="0" w:line="240" w:lineRule="auto"/>
        <w:ind w:left="426"/>
        <w:jc w:val="both"/>
        <w:rPr>
          <w:rFonts w:ascii="Arial" w:eastAsia="Times New Roman" w:hAnsi="Arial" w:cs="Arial"/>
          <w:bCs/>
          <w:sz w:val="20"/>
          <w:szCs w:val="20"/>
          <w:lang w:eastAsia="es-PE"/>
        </w:rPr>
      </w:pPr>
    </w:p>
    <w:p w14:paraId="34892769" w14:textId="77777777" w:rsidR="00661346" w:rsidRPr="00990CB0" w:rsidRDefault="00146B2F" w:rsidP="00661346">
      <w:pPr>
        <w:spacing w:after="0" w:line="240" w:lineRule="auto"/>
        <w:ind w:left="426"/>
        <w:jc w:val="both"/>
        <w:rPr>
          <w:rFonts w:ascii="Arial" w:eastAsia="Times New Roman" w:hAnsi="Arial" w:cs="Arial"/>
          <w:bCs/>
          <w:sz w:val="20"/>
          <w:szCs w:val="20"/>
          <w:lang w:eastAsia="es-PE"/>
        </w:rPr>
      </w:pPr>
      <w:r w:rsidRPr="00990CB0">
        <w:rPr>
          <w:rFonts w:ascii="Arial" w:eastAsia="Times New Roman" w:hAnsi="Arial" w:cs="Arial"/>
          <w:bCs/>
          <w:sz w:val="20"/>
          <w:szCs w:val="20"/>
          <w:lang w:eastAsia="es-PE"/>
        </w:rPr>
        <w:t xml:space="preserve">El Decreto Supremo, </w:t>
      </w:r>
      <w:r w:rsidR="0026041A" w:rsidRPr="00990CB0">
        <w:rPr>
          <w:rFonts w:ascii="Arial" w:eastAsia="Times New Roman" w:hAnsi="Arial" w:cs="Arial"/>
          <w:bCs/>
          <w:sz w:val="20"/>
          <w:szCs w:val="20"/>
          <w:lang w:eastAsia="es-PE"/>
        </w:rPr>
        <w:t xml:space="preserve">establece también </w:t>
      </w:r>
      <w:r w:rsidRPr="00990CB0">
        <w:rPr>
          <w:rFonts w:ascii="Arial" w:eastAsia="Times New Roman" w:hAnsi="Arial" w:cs="Arial"/>
          <w:bCs/>
          <w:sz w:val="20"/>
          <w:szCs w:val="20"/>
          <w:lang w:eastAsia="es-PE"/>
        </w:rPr>
        <w:t>un</w:t>
      </w:r>
      <w:r w:rsidR="0026041A" w:rsidRPr="00990CB0">
        <w:rPr>
          <w:rFonts w:ascii="Arial" w:eastAsia="Times New Roman" w:hAnsi="Arial" w:cs="Arial"/>
          <w:bCs/>
          <w:sz w:val="20"/>
          <w:szCs w:val="20"/>
          <w:lang w:eastAsia="es-PE"/>
        </w:rPr>
        <w:t xml:space="preserve"> procedimiento de inscripción </w:t>
      </w:r>
      <w:r w:rsidRPr="00990CB0">
        <w:rPr>
          <w:rFonts w:ascii="Arial" w:eastAsia="Times New Roman" w:hAnsi="Arial" w:cs="Arial"/>
          <w:bCs/>
          <w:sz w:val="20"/>
          <w:szCs w:val="20"/>
          <w:lang w:eastAsia="es-PE"/>
        </w:rPr>
        <w:t>en el RECPO</w:t>
      </w:r>
      <w:r w:rsidR="0026041A" w:rsidRPr="00990CB0">
        <w:rPr>
          <w:rFonts w:ascii="Arial" w:eastAsia="Times New Roman" w:hAnsi="Arial" w:cs="Arial"/>
          <w:bCs/>
          <w:sz w:val="20"/>
          <w:szCs w:val="20"/>
          <w:lang w:eastAsia="es-PE"/>
        </w:rPr>
        <w:t>, el cual, será virtual, de aprobación automática</w:t>
      </w:r>
      <w:r w:rsidRPr="00990CB0">
        <w:rPr>
          <w:rFonts w:ascii="Arial" w:eastAsia="Times New Roman" w:hAnsi="Arial" w:cs="Arial"/>
          <w:bCs/>
          <w:sz w:val="20"/>
          <w:szCs w:val="20"/>
          <w:lang w:eastAsia="es-PE"/>
        </w:rPr>
        <w:t xml:space="preserve"> y sujeto a fiscalización posterior</w:t>
      </w:r>
      <w:r w:rsidR="0026041A" w:rsidRPr="00990CB0">
        <w:rPr>
          <w:rFonts w:ascii="Arial" w:eastAsia="Times New Roman" w:hAnsi="Arial" w:cs="Arial"/>
          <w:bCs/>
          <w:sz w:val="20"/>
          <w:szCs w:val="20"/>
          <w:lang w:eastAsia="es-PE"/>
        </w:rPr>
        <w:t>.</w:t>
      </w:r>
      <w:r w:rsidR="00E55EDB" w:rsidRPr="00990CB0">
        <w:rPr>
          <w:rFonts w:ascii="Arial" w:eastAsia="Times New Roman" w:hAnsi="Arial" w:cs="Arial"/>
          <w:bCs/>
          <w:sz w:val="20"/>
          <w:szCs w:val="20"/>
          <w:lang w:eastAsia="es-PE"/>
        </w:rPr>
        <w:t xml:space="preserve"> Además, se establece que la inscripción en el RECPO tendrá</w:t>
      </w:r>
      <w:r w:rsidRPr="00990CB0">
        <w:rPr>
          <w:rFonts w:ascii="Arial" w:eastAsia="Times New Roman" w:hAnsi="Arial" w:cs="Arial"/>
          <w:bCs/>
          <w:sz w:val="20"/>
          <w:szCs w:val="20"/>
          <w:lang w:eastAsia="es-PE"/>
        </w:rPr>
        <w:t xml:space="preserve"> una vigencia bienal</w:t>
      </w:r>
      <w:r w:rsidR="00E55EDB" w:rsidRPr="00990CB0">
        <w:rPr>
          <w:rFonts w:ascii="Arial" w:eastAsia="Times New Roman" w:hAnsi="Arial" w:cs="Arial"/>
          <w:bCs/>
          <w:sz w:val="20"/>
          <w:szCs w:val="20"/>
          <w:lang w:eastAsia="es-PE"/>
        </w:rPr>
        <w:t>, ya que las condiciones del comercializador</w:t>
      </w:r>
      <w:r w:rsidR="00F658A9" w:rsidRPr="00990CB0">
        <w:rPr>
          <w:rFonts w:ascii="Arial" w:eastAsia="Times New Roman" w:hAnsi="Arial" w:cs="Arial"/>
          <w:bCs/>
          <w:sz w:val="20"/>
          <w:szCs w:val="20"/>
          <w:lang w:eastAsia="es-PE"/>
        </w:rPr>
        <w:t xml:space="preserve"> pueden variar de un año a otro; </w:t>
      </w:r>
      <w:r w:rsidR="00D912D4" w:rsidRPr="00990CB0">
        <w:rPr>
          <w:rFonts w:ascii="Arial" w:eastAsia="Times New Roman" w:hAnsi="Arial" w:cs="Arial"/>
          <w:bCs/>
          <w:sz w:val="20"/>
          <w:szCs w:val="20"/>
          <w:lang w:eastAsia="es-PE"/>
        </w:rPr>
        <w:t>estableciéndose,</w:t>
      </w:r>
      <w:r w:rsidR="00F658A9" w:rsidRPr="00990CB0">
        <w:rPr>
          <w:rFonts w:ascii="Arial" w:eastAsia="Times New Roman" w:hAnsi="Arial" w:cs="Arial"/>
          <w:bCs/>
          <w:sz w:val="20"/>
          <w:szCs w:val="20"/>
          <w:lang w:eastAsia="es-PE"/>
        </w:rPr>
        <w:t xml:space="preserve"> además, que la relación de comercializadores de oro autorizados es publicada y actualizada en el portal web del Ministerio de Energía y Minas.</w:t>
      </w:r>
      <w:bookmarkStart w:id="1" w:name="_Toc37433848"/>
    </w:p>
    <w:p w14:paraId="4A86F3BD" w14:textId="77777777" w:rsidR="00661346" w:rsidRPr="00990CB0" w:rsidRDefault="00661346" w:rsidP="00661346">
      <w:pPr>
        <w:spacing w:after="0" w:line="240" w:lineRule="auto"/>
        <w:ind w:left="426"/>
        <w:jc w:val="both"/>
        <w:rPr>
          <w:rFonts w:ascii="Arial" w:eastAsia="Times New Roman" w:hAnsi="Arial" w:cs="Arial"/>
          <w:bCs/>
          <w:sz w:val="20"/>
          <w:szCs w:val="20"/>
          <w:lang w:eastAsia="es-PE"/>
        </w:rPr>
      </w:pPr>
    </w:p>
    <w:p w14:paraId="6EC084C3" w14:textId="5C6BB90B" w:rsidR="00661346" w:rsidRPr="00990CB0" w:rsidRDefault="00661346" w:rsidP="00661346">
      <w:pPr>
        <w:spacing w:after="0" w:line="240" w:lineRule="auto"/>
        <w:ind w:left="426"/>
        <w:jc w:val="both"/>
        <w:rPr>
          <w:rFonts w:ascii="Arial" w:eastAsia="Times New Roman" w:hAnsi="Arial" w:cs="Arial"/>
          <w:bCs/>
          <w:sz w:val="20"/>
          <w:szCs w:val="20"/>
          <w:lang w:eastAsia="es-PE"/>
        </w:rPr>
      </w:pPr>
      <w:r w:rsidRPr="00990CB0">
        <w:rPr>
          <w:rFonts w:ascii="Arial" w:eastAsia="Times New Roman" w:hAnsi="Arial" w:cs="Arial"/>
          <w:bCs/>
          <w:sz w:val="20"/>
          <w:szCs w:val="20"/>
          <w:lang w:eastAsia="es-PE"/>
        </w:rPr>
        <w:t xml:space="preserve">Asimismo, la norma dispone que en el caso de los pequeños productores mineros y productores mineros artesanales que únicamente se dediquen a la explotación y provisión del oro extraído en cualquiera de sus formas a terceros que se encuentren inscritos en el Registro Integral de Formalización Minera-REINFO o en el Registro Nacional de Mineros en Pequeña Escala Formales-REFOR; y, las registradas en el Padrón de Terceras Personas Naturales y Seleccionadores Manuales de Oro al amparo del Decreto Supremo </w:t>
      </w:r>
      <w:proofErr w:type="spellStart"/>
      <w:r w:rsidRPr="00990CB0">
        <w:rPr>
          <w:rFonts w:ascii="Arial" w:eastAsia="Times New Roman" w:hAnsi="Arial" w:cs="Arial"/>
          <w:bCs/>
          <w:sz w:val="20"/>
          <w:szCs w:val="20"/>
          <w:lang w:eastAsia="es-PE"/>
        </w:rPr>
        <w:t>N°</w:t>
      </w:r>
      <w:proofErr w:type="spellEnd"/>
      <w:r w:rsidRPr="00990CB0">
        <w:rPr>
          <w:rFonts w:ascii="Arial" w:eastAsia="Times New Roman" w:hAnsi="Arial" w:cs="Arial"/>
          <w:bCs/>
          <w:sz w:val="20"/>
          <w:szCs w:val="20"/>
          <w:lang w:eastAsia="es-PE"/>
        </w:rPr>
        <w:t xml:space="preserve"> 018-2018-EM serán registrados automáticamente al RECPO. Para tal fin, deberán actualizar la información de su número de correo electrónico y celular, a los cuales, se les hará llegar su usuario y contraseña para ingresar en el RECPO. Por otro lado, en el caso que los pequeños productores mineros y productores mineros artesanales señalados en el párrafo anterior, se dediquen además de la venta, a comercializar oro, a través de operaciones de compra y/o procesamiento, deberán solicitar la inscripción en el RECPO siguiendo el procedimiento establecido en el presente Decreto Supremo. </w:t>
      </w:r>
    </w:p>
    <w:p w14:paraId="2D7D298D" w14:textId="6AB227CB" w:rsidR="00661346" w:rsidRPr="00990CB0" w:rsidRDefault="00661346" w:rsidP="009C5B58">
      <w:pPr>
        <w:spacing w:after="0" w:line="240" w:lineRule="auto"/>
        <w:ind w:left="426"/>
        <w:jc w:val="both"/>
        <w:rPr>
          <w:rFonts w:ascii="Arial" w:eastAsia="Times New Roman" w:hAnsi="Arial" w:cs="Arial"/>
          <w:bCs/>
          <w:sz w:val="20"/>
          <w:szCs w:val="20"/>
          <w:lang w:eastAsia="es-PE"/>
        </w:rPr>
      </w:pPr>
    </w:p>
    <w:p w14:paraId="3C5995CD" w14:textId="7F64926B" w:rsidR="00F658A9" w:rsidRPr="00990CB0" w:rsidRDefault="009C5B58" w:rsidP="008577DB">
      <w:pPr>
        <w:spacing w:after="0" w:line="240" w:lineRule="auto"/>
        <w:ind w:left="426"/>
        <w:jc w:val="both"/>
        <w:rPr>
          <w:rFonts w:ascii="Arial" w:eastAsia="Times New Roman" w:hAnsi="Arial" w:cs="Arial"/>
          <w:bCs/>
          <w:sz w:val="20"/>
          <w:szCs w:val="20"/>
          <w:lang w:eastAsia="es-PE"/>
        </w:rPr>
      </w:pPr>
      <w:r w:rsidRPr="00990CB0">
        <w:rPr>
          <w:rFonts w:ascii="Arial" w:eastAsia="Times New Roman" w:hAnsi="Arial" w:cs="Arial"/>
          <w:bCs/>
          <w:sz w:val="20"/>
          <w:szCs w:val="20"/>
          <w:lang w:eastAsia="es-PE"/>
        </w:rPr>
        <w:t xml:space="preserve">Además, </w:t>
      </w:r>
      <w:r w:rsidR="00661346" w:rsidRPr="00990CB0">
        <w:rPr>
          <w:rFonts w:ascii="Arial" w:eastAsia="Times New Roman" w:hAnsi="Arial" w:cs="Arial"/>
          <w:bCs/>
          <w:sz w:val="20"/>
          <w:szCs w:val="20"/>
          <w:lang w:eastAsia="es-PE"/>
        </w:rPr>
        <w:t xml:space="preserve">el Decreto Supremo, </w:t>
      </w:r>
      <w:r w:rsidR="00F658A9" w:rsidRPr="00990CB0">
        <w:rPr>
          <w:rFonts w:ascii="Arial" w:eastAsia="Times New Roman" w:hAnsi="Arial" w:cs="Arial"/>
          <w:bCs/>
          <w:sz w:val="20"/>
          <w:szCs w:val="20"/>
          <w:lang w:eastAsia="es-PE"/>
        </w:rPr>
        <w:t>estab</w:t>
      </w:r>
      <w:r w:rsidRPr="00990CB0">
        <w:rPr>
          <w:rFonts w:ascii="Arial" w:eastAsia="Times New Roman" w:hAnsi="Arial" w:cs="Arial"/>
          <w:bCs/>
          <w:sz w:val="20"/>
          <w:szCs w:val="20"/>
          <w:lang w:eastAsia="es-PE"/>
        </w:rPr>
        <w:t xml:space="preserve">lece </w:t>
      </w:r>
      <w:r w:rsidR="00F658A9" w:rsidRPr="00990CB0">
        <w:rPr>
          <w:rFonts w:ascii="Arial" w:eastAsia="Times New Roman" w:hAnsi="Arial" w:cs="Arial"/>
          <w:bCs/>
          <w:sz w:val="20"/>
          <w:szCs w:val="20"/>
          <w:lang w:eastAsia="es-PE"/>
        </w:rPr>
        <w:t>que el RECPO cuenta con un buzón electrónico asignado después de su inscripción, a través de cual, la autoridad administrativa puede comunicar cualquier acto materia de notificación, notas informativas, campañas de difusión, invitaciones a capacitaciones presenciales y/o virtuales, entre otros</w:t>
      </w:r>
    </w:p>
    <w:p w14:paraId="53D4AD17" w14:textId="77777777" w:rsidR="00C815D6" w:rsidRPr="00990CB0" w:rsidRDefault="00C815D6" w:rsidP="008577DB">
      <w:pPr>
        <w:spacing w:after="0" w:line="240" w:lineRule="auto"/>
        <w:jc w:val="both"/>
        <w:rPr>
          <w:rFonts w:ascii="Arial" w:eastAsia="Times New Roman" w:hAnsi="Arial" w:cs="Arial"/>
          <w:bCs/>
          <w:sz w:val="20"/>
          <w:szCs w:val="20"/>
          <w:lang w:eastAsia="es-PE"/>
        </w:rPr>
      </w:pPr>
      <w:bookmarkStart w:id="2" w:name="_Toc37433850"/>
      <w:bookmarkEnd w:id="1"/>
    </w:p>
    <w:p w14:paraId="21014078" w14:textId="03831C46" w:rsidR="0075794D" w:rsidRPr="00990CB0" w:rsidRDefault="000769A1" w:rsidP="008577DB">
      <w:pPr>
        <w:spacing w:after="0" w:line="240" w:lineRule="auto"/>
        <w:ind w:left="426"/>
        <w:jc w:val="both"/>
        <w:rPr>
          <w:rFonts w:ascii="Arial" w:eastAsia="Times New Roman" w:hAnsi="Arial" w:cs="Arial"/>
          <w:sz w:val="20"/>
          <w:szCs w:val="20"/>
          <w:shd w:val="clear" w:color="auto" w:fill="FFFFFF"/>
          <w:lang w:eastAsia="es-PE"/>
        </w:rPr>
      </w:pPr>
      <w:bookmarkStart w:id="3" w:name="_Toc37433851"/>
      <w:bookmarkEnd w:id="2"/>
      <w:r w:rsidRPr="00990CB0">
        <w:rPr>
          <w:rFonts w:ascii="Arial" w:eastAsia="Times New Roman" w:hAnsi="Arial" w:cs="Arial"/>
          <w:sz w:val="20"/>
          <w:szCs w:val="20"/>
          <w:shd w:val="clear" w:color="auto" w:fill="FFFFFF"/>
          <w:lang w:eastAsia="es-PE"/>
        </w:rPr>
        <w:t xml:space="preserve">La norma señala </w:t>
      </w:r>
      <w:r w:rsidR="00661346" w:rsidRPr="00990CB0">
        <w:rPr>
          <w:rFonts w:ascii="Arial" w:eastAsia="Times New Roman" w:hAnsi="Arial" w:cs="Arial"/>
          <w:sz w:val="20"/>
          <w:szCs w:val="20"/>
          <w:shd w:val="clear" w:color="auto" w:fill="FFFFFF"/>
          <w:lang w:eastAsia="es-PE"/>
        </w:rPr>
        <w:t xml:space="preserve">también, </w:t>
      </w:r>
      <w:r w:rsidRPr="00990CB0">
        <w:rPr>
          <w:rFonts w:ascii="Arial" w:eastAsia="Times New Roman" w:hAnsi="Arial" w:cs="Arial"/>
          <w:sz w:val="20"/>
          <w:szCs w:val="20"/>
          <w:shd w:val="clear" w:color="auto" w:fill="FFFFFF"/>
          <w:lang w:eastAsia="es-PE"/>
        </w:rPr>
        <w:t xml:space="preserve">que el Comercializador de Oro Autorizado, a través del aplicativo RECPO </w:t>
      </w:r>
      <w:r w:rsidR="00661346" w:rsidRPr="00990CB0">
        <w:rPr>
          <w:rFonts w:ascii="Arial" w:eastAsia="Times New Roman" w:hAnsi="Arial" w:cs="Arial"/>
          <w:sz w:val="20"/>
          <w:szCs w:val="20"/>
          <w:shd w:val="clear" w:color="auto" w:fill="FFFFFF"/>
          <w:lang w:eastAsia="es-PE"/>
        </w:rPr>
        <w:t xml:space="preserve">está obligado a </w:t>
      </w:r>
      <w:r w:rsidRPr="00990CB0">
        <w:rPr>
          <w:rFonts w:ascii="Arial" w:eastAsia="Times New Roman" w:hAnsi="Arial" w:cs="Arial"/>
          <w:sz w:val="20"/>
          <w:szCs w:val="20"/>
          <w:shd w:val="clear" w:color="auto" w:fill="FFFFFF"/>
          <w:lang w:eastAsia="es-PE"/>
        </w:rPr>
        <w:t>reporta</w:t>
      </w:r>
      <w:r w:rsidR="00661346" w:rsidRPr="00990CB0">
        <w:rPr>
          <w:rFonts w:ascii="Arial" w:eastAsia="Times New Roman" w:hAnsi="Arial" w:cs="Arial"/>
          <w:sz w:val="20"/>
          <w:szCs w:val="20"/>
          <w:shd w:val="clear" w:color="auto" w:fill="FFFFFF"/>
          <w:lang w:eastAsia="es-PE"/>
        </w:rPr>
        <w:t>r</w:t>
      </w:r>
      <w:r w:rsidRPr="00990CB0">
        <w:rPr>
          <w:rFonts w:ascii="Arial" w:eastAsia="Times New Roman" w:hAnsi="Arial" w:cs="Arial"/>
          <w:sz w:val="20"/>
          <w:szCs w:val="20"/>
          <w:shd w:val="clear" w:color="auto" w:fill="FFFFFF"/>
          <w:lang w:eastAsia="es-PE"/>
        </w:rPr>
        <w:t xml:space="preserve"> en línea sus operaciones de comercialización del </w:t>
      </w:r>
      <w:r w:rsidR="00146B2F" w:rsidRPr="00990CB0">
        <w:rPr>
          <w:rFonts w:ascii="Arial" w:eastAsia="Times New Roman" w:hAnsi="Arial" w:cs="Arial"/>
          <w:sz w:val="20"/>
          <w:szCs w:val="20"/>
          <w:shd w:val="clear" w:color="auto" w:fill="FFFFFF"/>
          <w:lang w:eastAsia="es-PE"/>
        </w:rPr>
        <w:t>oro, así como la aceptación expresa del proveedor de haber producido la venta</w:t>
      </w:r>
      <w:r w:rsidR="00CF0EBC" w:rsidRPr="00990CB0">
        <w:rPr>
          <w:rFonts w:ascii="Arial" w:eastAsia="Times New Roman" w:hAnsi="Arial" w:cs="Arial"/>
          <w:sz w:val="20"/>
          <w:szCs w:val="20"/>
          <w:shd w:val="clear" w:color="auto" w:fill="FFFFFF"/>
          <w:lang w:eastAsia="es-PE"/>
        </w:rPr>
        <w:t xml:space="preserve">, </w:t>
      </w:r>
      <w:r w:rsidR="008577DB" w:rsidRPr="00990CB0">
        <w:rPr>
          <w:rFonts w:ascii="Arial" w:eastAsia="Times New Roman" w:hAnsi="Arial" w:cs="Arial"/>
          <w:sz w:val="20"/>
          <w:szCs w:val="20"/>
          <w:shd w:val="clear" w:color="auto" w:fill="FFFFFF"/>
          <w:lang w:eastAsia="es-PE"/>
        </w:rPr>
        <w:t xml:space="preserve">esta información es </w:t>
      </w:r>
      <w:r w:rsidR="00CF0EBC" w:rsidRPr="00990CB0">
        <w:rPr>
          <w:rFonts w:ascii="Arial" w:eastAsia="Times New Roman" w:hAnsi="Arial" w:cs="Arial"/>
          <w:sz w:val="20"/>
          <w:szCs w:val="20"/>
          <w:shd w:val="clear" w:color="auto" w:fill="FFFFFF"/>
          <w:lang w:eastAsia="es-PE"/>
        </w:rPr>
        <w:t>registrada automáticamente en la plataforma virtual del RECPO</w:t>
      </w:r>
      <w:r w:rsidR="00E160D4" w:rsidRPr="00990CB0">
        <w:rPr>
          <w:rFonts w:ascii="Arial" w:eastAsia="Times New Roman" w:hAnsi="Arial" w:cs="Arial"/>
          <w:sz w:val="20"/>
          <w:szCs w:val="20"/>
          <w:shd w:val="clear" w:color="auto" w:fill="FFFFFF"/>
          <w:lang w:eastAsia="es-PE"/>
        </w:rPr>
        <w:t xml:space="preserve">. </w:t>
      </w:r>
      <w:r w:rsidR="00D912D4" w:rsidRPr="00990CB0">
        <w:rPr>
          <w:rFonts w:ascii="Arial" w:eastAsia="Times New Roman" w:hAnsi="Arial" w:cs="Arial"/>
          <w:sz w:val="20"/>
          <w:szCs w:val="20"/>
          <w:shd w:val="clear" w:color="auto" w:fill="FFFFFF"/>
          <w:lang w:eastAsia="es-PE"/>
        </w:rPr>
        <w:t>Para ello</w:t>
      </w:r>
      <w:r w:rsidR="00CF0EBC" w:rsidRPr="00990CB0">
        <w:rPr>
          <w:rFonts w:ascii="Arial" w:eastAsia="Times New Roman" w:hAnsi="Arial" w:cs="Arial"/>
          <w:sz w:val="20"/>
          <w:szCs w:val="20"/>
          <w:shd w:val="clear" w:color="auto" w:fill="FFFFFF"/>
          <w:lang w:eastAsia="es-PE"/>
        </w:rPr>
        <w:t xml:space="preserve">, el Ministerio de Energía y Minas a </w:t>
      </w:r>
      <w:r w:rsidR="00E160D4" w:rsidRPr="00990CB0">
        <w:rPr>
          <w:rFonts w:ascii="Arial" w:eastAsia="Times New Roman" w:hAnsi="Arial" w:cs="Arial"/>
          <w:sz w:val="20"/>
          <w:szCs w:val="20"/>
          <w:shd w:val="clear" w:color="auto" w:fill="FFFFFF"/>
          <w:lang w:eastAsia="es-PE"/>
        </w:rPr>
        <w:t>través</w:t>
      </w:r>
      <w:r w:rsidR="00CF0EBC" w:rsidRPr="00990CB0">
        <w:rPr>
          <w:rFonts w:ascii="Arial" w:eastAsia="Times New Roman" w:hAnsi="Arial" w:cs="Arial"/>
          <w:sz w:val="20"/>
          <w:szCs w:val="20"/>
          <w:shd w:val="clear" w:color="auto" w:fill="FFFFFF"/>
          <w:lang w:eastAsia="es-PE"/>
        </w:rPr>
        <w:t xml:space="preserve"> de la Dirección General de </w:t>
      </w:r>
      <w:r w:rsidR="00E160D4" w:rsidRPr="00990CB0">
        <w:rPr>
          <w:rFonts w:ascii="Arial" w:eastAsia="Times New Roman" w:hAnsi="Arial" w:cs="Arial"/>
          <w:sz w:val="20"/>
          <w:szCs w:val="20"/>
          <w:shd w:val="clear" w:color="auto" w:fill="FFFFFF"/>
          <w:lang w:eastAsia="es-PE"/>
        </w:rPr>
        <w:t>F</w:t>
      </w:r>
      <w:r w:rsidR="00CF0EBC" w:rsidRPr="00990CB0">
        <w:rPr>
          <w:rFonts w:ascii="Arial" w:eastAsia="Times New Roman" w:hAnsi="Arial" w:cs="Arial"/>
          <w:sz w:val="20"/>
          <w:szCs w:val="20"/>
          <w:shd w:val="clear" w:color="auto" w:fill="FFFFFF"/>
          <w:lang w:eastAsia="es-PE"/>
        </w:rPr>
        <w:t>ormalización Minera establecerá lo</w:t>
      </w:r>
      <w:r w:rsidR="00E60A0B" w:rsidRPr="00990CB0">
        <w:rPr>
          <w:rFonts w:ascii="Arial" w:eastAsia="Times New Roman" w:hAnsi="Arial" w:cs="Arial"/>
          <w:sz w:val="20"/>
          <w:szCs w:val="20"/>
          <w:shd w:val="clear" w:color="auto" w:fill="FFFFFF"/>
          <w:lang w:eastAsia="es-PE"/>
        </w:rPr>
        <w:t xml:space="preserve">s medios </w:t>
      </w:r>
      <w:r w:rsidRPr="00990CB0">
        <w:rPr>
          <w:rFonts w:ascii="Arial" w:eastAsia="Times New Roman" w:hAnsi="Arial" w:cs="Arial"/>
          <w:sz w:val="20"/>
          <w:szCs w:val="20"/>
          <w:shd w:val="clear" w:color="auto" w:fill="FFFFFF"/>
          <w:lang w:eastAsia="es-PE"/>
        </w:rPr>
        <w:t>electrónicos establecidos por el MINEM mediante Resolución Directoral</w:t>
      </w:r>
      <w:r w:rsidR="00E60A0B" w:rsidRPr="00990CB0">
        <w:rPr>
          <w:rFonts w:ascii="Arial" w:eastAsia="Times New Roman" w:hAnsi="Arial" w:cs="Arial"/>
          <w:sz w:val="20"/>
          <w:szCs w:val="20"/>
          <w:shd w:val="clear" w:color="auto" w:fill="FFFFFF"/>
          <w:lang w:eastAsia="es-PE"/>
        </w:rPr>
        <w:t>. Cabe señalar, que el empleo de las Tecnologías de la Información y la Comunicación (TIC), en todos los ámbitos de la sociedad, ha supuesto la posibilidad de habilitar más y mejores servicios a todas las personas en general; en particular, desde la perspectiva de los Estados representa la posibilidad de mejorar la eficiencia de las entidades de la Administración Pública y la eficacia en los servicios públicos que prestan a los integrantes de la sociedad, todo ello logrando un uso eficiente de los recursos públicos.</w:t>
      </w:r>
      <w:r w:rsidRPr="00990CB0">
        <w:rPr>
          <w:rFonts w:ascii="Arial" w:eastAsia="Times New Roman" w:hAnsi="Arial" w:cs="Arial"/>
          <w:sz w:val="20"/>
          <w:szCs w:val="20"/>
          <w:shd w:val="clear" w:color="auto" w:fill="FFFFFF"/>
          <w:lang w:eastAsia="es-PE"/>
        </w:rPr>
        <w:t xml:space="preserve"> </w:t>
      </w:r>
    </w:p>
    <w:p w14:paraId="481311C3" w14:textId="77777777" w:rsidR="0075794D" w:rsidRPr="00990CB0" w:rsidRDefault="0075794D" w:rsidP="008577DB">
      <w:pPr>
        <w:spacing w:after="0" w:line="240" w:lineRule="auto"/>
        <w:jc w:val="both"/>
        <w:rPr>
          <w:rFonts w:ascii="Arial" w:eastAsia="Times New Roman" w:hAnsi="Arial" w:cs="Arial"/>
          <w:bCs/>
          <w:sz w:val="20"/>
          <w:szCs w:val="20"/>
          <w:lang w:eastAsia="es-PE"/>
        </w:rPr>
      </w:pPr>
    </w:p>
    <w:p w14:paraId="1E9D3B56" w14:textId="77777777" w:rsidR="00455C8D" w:rsidRPr="00990CB0" w:rsidRDefault="0075794D" w:rsidP="00455C8D">
      <w:pPr>
        <w:pStyle w:val="Prrafodelista"/>
        <w:spacing w:after="0" w:line="240" w:lineRule="auto"/>
        <w:ind w:left="426"/>
        <w:jc w:val="both"/>
        <w:rPr>
          <w:rFonts w:ascii="Arial" w:eastAsia="Times New Roman" w:hAnsi="Arial" w:cs="Arial"/>
          <w:sz w:val="20"/>
          <w:szCs w:val="20"/>
          <w:shd w:val="clear" w:color="auto" w:fill="FFFFFF"/>
          <w:lang w:eastAsia="es-PE"/>
        </w:rPr>
      </w:pPr>
      <w:r w:rsidRPr="00990CB0">
        <w:rPr>
          <w:rFonts w:ascii="Arial" w:eastAsia="Times New Roman" w:hAnsi="Arial" w:cs="Arial"/>
          <w:sz w:val="20"/>
          <w:szCs w:val="20"/>
          <w:shd w:val="clear" w:color="auto" w:fill="FFFFFF"/>
          <w:lang w:eastAsia="es-PE"/>
        </w:rPr>
        <w:t xml:space="preserve">En ese sentido, el reporte de la información señalada en el párrafo precedente permitirá conocer la procedencia y el destino final del mineral, generando así la información necesaria para establecer la trazabilidad del oro. Por lo tanto, el RECPO será una fuente de información veraz y actualizada que le permita al estado implementar acciones tendientes a mejorar los procedimientos que involucran la comercialización y/o beneficio del oro, así también le permitirá ejercer identificar a los actores: a) Aquellas personas que están habilitadas para realizar actividad minera y que compren  oro de terceros; b) aquellas </w:t>
      </w:r>
      <w:r w:rsidRPr="00990CB0">
        <w:rPr>
          <w:rFonts w:ascii="Arial" w:eastAsia="Times New Roman" w:hAnsi="Arial" w:cs="Arial"/>
          <w:sz w:val="20"/>
          <w:szCs w:val="20"/>
          <w:shd w:val="clear" w:color="auto" w:fill="FFFFFF"/>
          <w:lang w:eastAsia="es-PE"/>
        </w:rPr>
        <w:lastRenderedPageBreak/>
        <w:t xml:space="preserve">personas que se dediquen a la comercialización de oro: acopiador, </w:t>
      </w:r>
      <w:proofErr w:type="spellStart"/>
      <w:r w:rsidRPr="00990CB0">
        <w:rPr>
          <w:rFonts w:ascii="Arial" w:eastAsia="Times New Roman" w:hAnsi="Arial" w:cs="Arial"/>
          <w:sz w:val="20"/>
          <w:szCs w:val="20"/>
          <w:shd w:val="clear" w:color="auto" w:fill="FFFFFF"/>
          <w:lang w:eastAsia="es-PE"/>
        </w:rPr>
        <w:t>trader</w:t>
      </w:r>
      <w:proofErr w:type="spellEnd"/>
      <w:r w:rsidRPr="00990CB0">
        <w:rPr>
          <w:rFonts w:ascii="Arial" w:eastAsia="Times New Roman" w:hAnsi="Arial" w:cs="Arial"/>
          <w:sz w:val="20"/>
          <w:szCs w:val="20"/>
          <w:shd w:val="clear" w:color="auto" w:fill="FFFFFF"/>
          <w:lang w:eastAsia="es-PE"/>
        </w:rPr>
        <w:t xml:space="preserve"> o intermediario; procesador; o planta de beneficio; y, c) Los agentes del Sistema Financiero que adquieran oro para atesoramiento; así como las transacciones efectuadas a lo largo de toda la cadena de valor del oro. </w:t>
      </w:r>
    </w:p>
    <w:p w14:paraId="10FA0F63" w14:textId="77777777" w:rsidR="00455C8D" w:rsidRPr="00990CB0" w:rsidRDefault="00455C8D" w:rsidP="00455C8D">
      <w:pPr>
        <w:pStyle w:val="Prrafodelista"/>
        <w:spacing w:after="0" w:line="240" w:lineRule="auto"/>
        <w:ind w:left="426"/>
        <w:jc w:val="both"/>
        <w:rPr>
          <w:rFonts w:ascii="Arial" w:eastAsia="Times New Roman" w:hAnsi="Arial" w:cs="Arial"/>
          <w:sz w:val="20"/>
          <w:szCs w:val="20"/>
          <w:shd w:val="clear" w:color="auto" w:fill="FFFFFF"/>
          <w:lang w:eastAsia="es-PE"/>
        </w:rPr>
      </w:pPr>
    </w:p>
    <w:p w14:paraId="642D04D5" w14:textId="77777777" w:rsidR="00455C8D" w:rsidRPr="00990CB0" w:rsidRDefault="00AA231B" w:rsidP="00455C8D">
      <w:pPr>
        <w:pStyle w:val="Prrafodelista"/>
        <w:spacing w:after="0" w:line="240" w:lineRule="auto"/>
        <w:ind w:left="426"/>
        <w:jc w:val="both"/>
        <w:rPr>
          <w:rFonts w:ascii="Arial" w:eastAsia="Times New Roman" w:hAnsi="Arial" w:cs="Arial"/>
          <w:sz w:val="20"/>
          <w:szCs w:val="20"/>
          <w:lang w:eastAsia="es-PE"/>
        </w:rPr>
      </w:pPr>
      <w:r w:rsidRPr="00990CB0">
        <w:rPr>
          <w:rFonts w:ascii="Arial" w:eastAsia="Times New Roman" w:hAnsi="Arial" w:cs="Arial"/>
          <w:sz w:val="20"/>
          <w:szCs w:val="20"/>
          <w:shd w:val="clear" w:color="auto" w:fill="FFFFFF"/>
          <w:lang w:eastAsia="es-PE"/>
        </w:rPr>
        <w:t xml:space="preserve">Por otro lado, el </w:t>
      </w:r>
      <w:r w:rsidR="00C832EE" w:rsidRPr="00990CB0">
        <w:rPr>
          <w:rFonts w:ascii="Arial" w:eastAsia="Times New Roman" w:hAnsi="Arial" w:cs="Arial"/>
          <w:sz w:val="20"/>
          <w:szCs w:val="20"/>
          <w:shd w:val="clear" w:color="auto" w:fill="FFFFFF"/>
          <w:lang w:eastAsia="es-PE"/>
        </w:rPr>
        <w:t>esquema</w:t>
      </w:r>
      <w:r w:rsidRPr="00990CB0">
        <w:rPr>
          <w:rFonts w:ascii="Arial" w:eastAsia="Times New Roman" w:hAnsi="Arial" w:cs="Arial"/>
          <w:sz w:val="20"/>
          <w:szCs w:val="20"/>
          <w:shd w:val="clear" w:color="auto" w:fill="FFFFFF"/>
          <w:lang w:eastAsia="es-PE"/>
        </w:rPr>
        <w:t xml:space="preserve"> horizontal de control de la comercialización desde el comprador al proveedor que propone la norma, implica que la </w:t>
      </w:r>
      <w:r w:rsidRPr="00990CB0">
        <w:rPr>
          <w:rFonts w:ascii="Arial" w:eastAsia="Times New Roman" w:hAnsi="Arial" w:cs="Arial"/>
          <w:sz w:val="20"/>
          <w:szCs w:val="20"/>
          <w:lang w:eastAsia="es-PE"/>
        </w:rPr>
        <w:t xml:space="preserve">Dirección General de Formalización Minera del Ministerio de Energía y Minas tenga que </w:t>
      </w:r>
      <w:r w:rsidRPr="00990CB0">
        <w:rPr>
          <w:rFonts w:ascii="Arial" w:eastAsia="Times New Roman" w:hAnsi="Arial" w:cs="Arial"/>
          <w:sz w:val="20"/>
          <w:szCs w:val="20"/>
          <w:shd w:val="clear" w:color="auto" w:fill="FDFDFD"/>
          <w:lang w:eastAsia="es-PE"/>
        </w:rPr>
        <w:t>monitorear información contenida en el RECPO, sin perjuicio de las competencias</w:t>
      </w:r>
      <w:r w:rsidR="00C832EE" w:rsidRPr="00990CB0">
        <w:rPr>
          <w:rFonts w:ascii="Arial" w:eastAsia="Times New Roman" w:hAnsi="Arial" w:cs="Arial"/>
          <w:sz w:val="20"/>
          <w:szCs w:val="20"/>
          <w:shd w:val="clear" w:color="auto" w:fill="FDFDFD"/>
          <w:lang w:eastAsia="es-PE"/>
        </w:rPr>
        <w:t xml:space="preserve"> de otras entidades del Estado, además de priorizar que las acciones de control </w:t>
      </w:r>
      <w:r w:rsidRPr="00990CB0">
        <w:rPr>
          <w:rFonts w:ascii="Arial" w:eastAsia="Times New Roman" w:hAnsi="Arial" w:cs="Arial"/>
          <w:sz w:val="20"/>
          <w:szCs w:val="20"/>
          <w:shd w:val="clear" w:color="auto" w:fill="FDFDFD"/>
          <w:lang w:eastAsia="es-PE"/>
        </w:rPr>
        <w:t xml:space="preserve">sobre la información declarada en el </w:t>
      </w:r>
      <w:r w:rsidR="00C832EE" w:rsidRPr="00990CB0">
        <w:rPr>
          <w:rFonts w:ascii="Arial" w:eastAsia="Times New Roman" w:hAnsi="Arial" w:cs="Arial"/>
          <w:sz w:val="20"/>
          <w:szCs w:val="20"/>
          <w:shd w:val="clear" w:color="auto" w:fill="FDFDFD"/>
          <w:lang w:eastAsia="es-PE"/>
        </w:rPr>
        <w:t>registro, se realicen</w:t>
      </w:r>
      <w:r w:rsidRPr="00990CB0">
        <w:rPr>
          <w:rFonts w:ascii="Arial" w:eastAsia="Times New Roman" w:hAnsi="Arial" w:cs="Arial"/>
          <w:sz w:val="20"/>
          <w:szCs w:val="20"/>
          <w:lang w:eastAsia="es-PE"/>
        </w:rPr>
        <w:t xml:space="preserve"> en gabinete y </w:t>
      </w:r>
      <w:r w:rsidR="00C832EE" w:rsidRPr="00990CB0">
        <w:rPr>
          <w:rFonts w:ascii="Arial" w:eastAsia="Times New Roman" w:hAnsi="Arial" w:cs="Arial"/>
          <w:sz w:val="20"/>
          <w:szCs w:val="20"/>
          <w:lang w:eastAsia="es-PE"/>
        </w:rPr>
        <w:t>que estén orientada</w:t>
      </w:r>
      <w:r w:rsidRPr="00990CB0">
        <w:rPr>
          <w:rFonts w:ascii="Arial" w:eastAsia="Times New Roman" w:hAnsi="Arial" w:cs="Arial"/>
          <w:sz w:val="20"/>
          <w:szCs w:val="20"/>
          <w:lang w:eastAsia="es-PE"/>
        </w:rPr>
        <w:t>s a identificar la trazabilidad del oro y a determinar la existencia o no de causales de cancelación de la inscripción en el RECPO.</w:t>
      </w:r>
    </w:p>
    <w:p w14:paraId="2E1F3E3D" w14:textId="77777777" w:rsidR="00455C8D" w:rsidRPr="00990CB0" w:rsidRDefault="00455C8D" w:rsidP="00455C8D">
      <w:pPr>
        <w:pStyle w:val="Prrafodelista"/>
        <w:spacing w:after="0" w:line="240" w:lineRule="auto"/>
        <w:ind w:left="426"/>
        <w:jc w:val="both"/>
        <w:rPr>
          <w:rFonts w:ascii="Arial" w:eastAsia="Times New Roman" w:hAnsi="Arial" w:cs="Arial"/>
          <w:sz w:val="20"/>
          <w:szCs w:val="20"/>
          <w:lang w:eastAsia="es-PE"/>
        </w:rPr>
      </w:pPr>
    </w:p>
    <w:p w14:paraId="7FA38259" w14:textId="5137E36C" w:rsidR="00455C8D" w:rsidRPr="00990CB0" w:rsidRDefault="00C832EE" w:rsidP="00455C8D">
      <w:pPr>
        <w:pStyle w:val="Prrafodelista"/>
        <w:spacing w:after="0" w:line="240" w:lineRule="auto"/>
        <w:ind w:left="426"/>
        <w:jc w:val="both"/>
        <w:rPr>
          <w:rFonts w:ascii="Arial" w:eastAsia="Times New Roman" w:hAnsi="Arial" w:cs="Arial"/>
          <w:bCs/>
          <w:sz w:val="20"/>
          <w:szCs w:val="20"/>
          <w:lang w:eastAsia="es-PE"/>
        </w:rPr>
      </w:pPr>
      <w:r w:rsidRPr="00990CB0">
        <w:rPr>
          <w:rFonts w:ascii="Arial" w:eastAsia="Times New Roman" w:hAnsi="Arial" w:cs="Arial"/>
          <w:sz w:val="20"/>
          <w:szCs w:val="20"/>
          <w:lang w:eastAsia="es-PE"/>
        </w:rPr>
        <w:t>En tal sentido, además, la norma propone</w:t>
      </w:r>
      <w:r w:rsidR="00FC5D5C" w:rsidRPr="00990CB0">
        <w:rPr>
          <w:rFonts w:ascii="Arial" w:eastAsia="Times New Roman" w:hAnsi="Arial" w:cs="Arial"/>
          <w:sz w:val="20"/>
          <w:szCs w:val="20"/>
          <w:lang w:eastAsia="es-PE"/>
        </w:rPr>
        <w:t xml:space="preserve"> diez</w:t>
      </w:r>
      <w:r w:rsidRPr="00990CB0">
        <w:rPr>
          <w:rFonts w:ascii="Arial" w:eastAsia="Times New Roman" w:hAnsi="Arial" w:cs="Arial"/>
          <w:sz w:val="20"/>
          <w:szCs w:val="20"/>
          <w:lang w:eastAsia="es-PE"/>
        </w:rPr>
        <w:t xml:space="preserve"> causales de cancelación de la inscripción</w:t>
      </w:r>
      <w:r w:rsidR="00FC5D5C" w:rsidRPr="00990CB0">
        <w:rPr>
          <w:rFonts w:ascii="Arial" w:eastAsia="Times New Roman" w:hAnsi="Arial" w:cs="Arial"/>
          <w:sz w:val="20"/>
          <w:szCs w:val="20"/>
          <w:lang w:eastAsia="es-PE"/>
        </w:rPr>
        <w:t xml:space="preserve"> </w:t>
      </w:r>
      <w:r w:rsidRPr="00990CB0">
        <w:rPr>
          <w:rFonts w:ascii="Arial" w:eastAsia="Times New Roman" w:hAnsi="Arial" w:cs="Arial"/>
          <w:sz w:val="20"/>
          <w:szCs w:val="20"/>
          <w:lang w:eastAsia="es-PE"/>
        </w:rPr>
        <w:t xml:space="preserve"> en el RECPO: </w:t>
      </w:r>
      <w:r w:rsidR="00FC5D5C" w:rsidRPr="00990CB0">
        <w:rPr>
          <w:rFonts w:ascii="Arial" w:eastAsia="Times New Roman" w:hAnsi="Arial" w:cs="Arial"/>
          <w:sz w:val="20"/>
          <w:szCs w:val="20"/>
          <w:lang w:eastAsia="es-PE"/>
        </w:rPr>
        <w:t>1) por f</w:t>
      </w:r>
      <w:r w:rsidR="00FC5D5C" w:rsidRPr="00990CB0">
        <w:rPr>
          <w:rFonts w:ascii="Arial" w:eastAsia="Times New Roman" w:hAnsi="Arial" w:cs="Arial"/>
          <w:bCs/>
          <w:sz w:val="20"/>
          <w:szCs w:val="20"/>
          <w:lang w:eastAsia="es-PE"/>
        </w:rPr>
        <w:t xml:space="preserve">allecimiento del usuario RECPO; 2) por </w:t>
      </w:r>
      <w:r w:rsidR="00661346" w:rsidRPr="00990CB0">
        <w:rPr>
          <w:rFonts w:ascii="Arial" w:eastAsia="Times New Roman" w:hAnsi="Arial" w:cs="Arial"/>
          <w:bCs/>
          <w:sz w:val="20"/>
          <w:szCs w:val="20"/>
          <w:lang w:eastAsia="es-PE"/>
        </w:rPr>
        <w:t>tener</w:t>
      </w:r>
      <w:r w:rsidR="00FC5D5C" w:rsidRPr="00990CB0">
        <w:rPr>
          <w:rFonts w:ascii="Arial" w:eastAsia="Times New Roman" w:hAnsi="Arial" w:cs="Arial"/>
          <w:bCs/>
          <w:sz w:val="20"/>
          <w:szCs w:val="20"/>
          <w:lang w:eastAsia="es-PE"/>
        </w:rPr>
        <w:t xml:space="preserve"> RUC</w:t>
      </w:r>
      <w:r w:rsidR="00661346" w:rsidRPr="00990CB0">
        <w:rPr>
          <w:rFonts w:ascii="Arial" w:eastAsia="Times New Roman" w:hAnsi="Arial" w:cs="Arial"/>
          <w:bCs/>
          <w:sz w:val="20"/>
          <w:szCs w:val="20"/>
          <w:lang w:eastAsia="es-PE"/>
        </w:rPr>
        <w:t xml:space="preserve"> no activo</w:t>
      </w:r>
      <w:r w:rsidR="00FC5D5C" w:rsidRPr="00990CB0">
        <w:rPr>
          <w:rFonts w:ascii="Arial" w:eastAsia="Times New Roman" w:hAnsi="Arial" w:cs="Arial"/>
          <w:bCs/>
          <w:sz w:val="20"/>
          <w:szCs w:val="20"/>
          <w:lang w:eastAsia="es-PE"/>
        </w:rPr>
        <w:t xml:space="preserve">; 3) Si se </w:t>
      </w:r>
      <w:r w:rsidRPr="00990CB0">
        <w:rPr>
          <w:rFonts w:ascii="Arial" w:eastAsia="Times New Roman" w:hAnsi="Arial" w:cs="Arial"/>
          <w:bCs/>
          <w:sz w:val="20"/>
          <w:szCs w:val="20"/>
          <w:lang w:eastAsia="es-PE"/>
        </w:rPr>
        <w:t>verifica que durante tres meses consecutivos n</w:t>
      </w:r>
      <w:r w:rsidR="00FC5D5C" w:rsidRPr="00990CB0">
        <w:rPr>
          <w:rFonts w:ascii="Arial" w:eastAsia="Times New Roman" w:hAnsi="Arial" w:cs="Arial"/>
          <w:bCs/>
          <w:sz w:val="20"/>
          <w:szCs w:val="20"/>
          <w:lang w:eastAsia="es-PE"/>
        </w:rPr>
        <w:t xml:space="preserve">o se han registrado operaciones; 4) a </w:t>
      </w:r>
      <w:r w:rsidRPr="00990CB0">
        <w:rPr>
          <w:rFonts w:ascii="Arial" w:eastAsia="Times New Roman" w:hAnsi="Arial" w:cs="Arial"/>
          <w:bCs/>
          <w:sz w:val="20"/>
          <w:szCs w:val="20"/>
          <w:lang w:eastAsia="es-PE"/>
        </w:rPr>
        <w:t>solicitud del usuario RECPO por motivo del cese definitivo de sus operaciones comerciales</w:t>
      </w:r>
      <w:r w:rsidR="00FC5D5C" w:rsidRPr="00990CB0">
        <w:rPr>
          <w:rFonts w:ascii="Arial" w:eastAsia="Times New Roman" w:hAnsi="Arial" w:cs="Arial"/>
          <w:bCs/>
          <w:sz w:val="20"/>
          <w:szCs w:val="20"/>
          <w:lang w:eastAsia="es-PE"/>
        </w:rPr>
        <w:t xml:space="preserve"> y/o no tenga mineral aurífero en stock; 5) </w:t>
      </w:r>
      <w:r w:rsidR="00F25936" w:rsidRPr="00990CB0">
        <w:rPr>
          <w:rFonts w:ascii="Arial" w:eastAsia="Times New Roman" w:hAnsi="Arial" w:cs="Arial"/>
          <w:bCs/>
          <w:sz w:val="20"/>
          <w:szCs w:val="20"/>
          <w:lang w:eastAsia="es-PE"/>
        </w:rPr>
        <w:t>exista d</w:t>
      </w:r>
      <w:r w:rsidRPr="00990CB0">
        <w:rPr>
          <w:rFonts w:ascii="Arial" w:eastAsia="Times New Roman" w:hAnsi="Arial" w:cs="Arial"/>
          <w:bCs/>
          <w:sz w:val="20"/>
          <w:szCs w:val="20"/>
          <w:lang w:eastAsia="es-PE"/>
        </w:rPr>
        <w:t>iscrepancia entre lo reportado en el RECPO con lo declarado a través de ot</w:t>
      </w:r>
      <w:r w:rsidR="00F25936" w:rsidRPr="00990CB0">
        <w:rPr>
          <w:rFonts w:ascii="Arial" w:eastAsia="Times New Roman" w:hAnsi="Arial" w:cs="Arial"/>
          <w:bCs/>
          <w:sz w:val="20"/>
          <w:szCs w:val="20"/>
          <w:lang w:eastAsia="es-PE"/>
        </w:rPr>
        <w:t xml:space="preserve">ros declaraciones de producción; </w:t>
      </w:r>
      <w:r w:rsidR="009474BC" w:rsidRPr="00990CB0">
        <w:rPr>
          <w:rFonts w:ascii="Arial" w:eastAsia="Times New Roman" w:hAnsi="Arial" w:cs="Arial"/>
          <w:bCs/>
          <w:sz w:val="20"/>
          <w:szCs w:val="20"/>
          <w:lang w:eastAsia="es-PE"/>
        </w:rPr>
        <w:t>6</w:t>
      </w:r>
      <w:r w:rsidR="00F25936" w:rsidRPr="00990CB0">
        <w:rPr>
          <w:rFonts w:ascii="Arial" w:eastAsia="Times New Roman" w:hAnsi="Arial" w:cs="Arial"/>
          <w:bCs/>
          <w:sz w:val="20"/>
          <w:szCs w:val="20"/>
          <w:lang w:eastAsia="es-PE"/>
        </w:rPr>
        <w:t>) c</w:t>
      </w:r>
      <w:r w:rsidRPr="00990CB0">
        <w:rPr>
          <w:rFonts w:ascii="Arial" w:eastAsia="Times New Roman" w:hAnsi="Arial" w:cs="Arial"/>
          <w:bCs/>
          <w:sz w:val="20"/>
          <w:szCs w:val="20"/>
          <w:lang w:eastAsia="es-PE"/>
        </w:rPr>
        <w:t>uando el usuario REPCO realice la transferencia, cesión o cualquier acto que  implique la indebida utilización de la inscripción en el RECPO, a fin de que  un tercero no registrado pretenda com</w:t>
      </w:r>
      <w:r w:rsidR="00F25936" w:rsidRPr="00990CB0">
        <w:rPr>
          <w:rFonts w:ascii="Arial" w:eastAsia="Times New Roman" w:hAnsi="Arial" w:cs="Arial"/>
          <w:bCs/>
          <w:sz w:val="20"/>
          <w:szCs w:val="20"/>
          <w:lang w:eastAsia="es-PE"/>
        </w:rPr>
        <w:t xml:space="preserve">ercializar oro sin autorización; </w:t>
      </w:r>
      <w:r w:rsidR="009474BC" w:rsidRPr="00990CB0">
        <w:rPr>
          <w:rFonts w:ascii="Arial" w:eastAsia="Times New Roman" w:hAnsi="Arial" w:cs="Arial"/>
          <w:bCs/>
          <w:sz w:val="20"/>
          <w:szCs w:val="20"/>
          <w:lang w:eastAsia="es-PE"/>
        </w:rPr>
        <w:t>7</w:t>
      </w:r>
      <w:r w:rsidR="00F25936" w:rsidRPr="00990CB0">
        <w:rPr>
          <w:rFonts w:ascii="Arial" w:eastAsia="Times New Roman" w:hAnsi="Arial" w:cs="Arial"/>
          <w:bCs/>
          <w:sz w:val="20"/>
          <w:szCs w:val="20"/>
          <w:lang w:eastAsia="es-PE"/>
        </w:rPr>
        <w:t>) cuando se acredite r</w:t>
      </w:r>
      <w:r w:rsidRPr="00990CB0">
        <w:rPr>
          <w:rFonts w:ascii="Arial" w:eastAsia="Times New Roman" w:hAnsi="Arial" w:cs="Arial"/>
          <w:bCs/>
          <w:sz w:val="20"/>
          <w:szCs w:val="20"/>
          <w:lang w:eastAsia="es-PE"/>
        </w:rPr>
        <w:t>esponsabilidad por compr</w:t>
      </w:r>
      <w:r w:rsidR="00F25936" w:rsidRPr="00990CB0">
        <w:rPr>
          <w:rFonts w:ascii="Arial" w:eastAsia="Times New Roman" w:hAnsi="Arial" w:cs="Arial"/>
          <w:bCs/>
          <w:sz w:val="20"/>
          <w:szCs w:val="20"/>
          <w:lang w:eastAsia="es-PE"/>
        </w:rPr>
        <w:t xml:space="preserve">a hecha a persona no autorizada; </w:t>
      </w:r>
      <w:r w:rsidR="009474BC" w:rsidRPr="00990CB0">
        <w:rPr>
          <w:rFonts w:ascii="Arial" w:eastAsia="Times New Roman" w:hAnsi="Arial" w:cs="Arial"/>
          <w:bCs/>
          <w:sz w:val="20"/>
          <w:szCs w:val="20"/>
          <w:lang w:eastAsia="es-PE"/>
        </w:rPr>
        <w:t>8</w:t>
      </w:r>
      <w:r w:rsidR="00F25936" w:rsidRPr="00990CB0">
        <w:rPr>
          <w:rFonts w:ascii="Arial" w:eastAsia="Times New Roman" w:hAnsi="Arial" w:cs="Arial"/>
          <w:bCs/>
          <w:sz w:val="20"/>
          <w:szCs w:val="20"/>
          <w:lang w:eastAsia="es-PE"/>
        </w:rPr>
        <w:t xml:space="preserve">) cuando se compruebe </w:t>
      </w:r>
      <w:r w:rsidRPr="00990CB0">
        <w:rPr>
          <w:rFonts w:ascii="Arial" w:eastAsia="Times New Roman" w:hAnsi="Arial" w:cs="Arial"/>
          <w:bCs/>
          <w:sz w:val="20"/>
          <w:szCs w:val="20"/>
          <w:lang w:eastAsia="es-PE"/>
        </w:rPr>
        <w:t>información falsa, parcial o totalmente, emitiendo la resolución correspondiente; sin perjuicio que solicite al órgano jurisdiccional, el inicio de las acciones</w:t>
      </w:r>
      <w:r w:rsidR="00F25936" w:rsidRPr="00990CB0">
        <w:rPr>
          <w:rFonts w:ascii="Arial" w:eastAsia="Times New Roman" w:hAnsi="Arial" w:cs="Arial"/>
          <w:bCs/>
          <w:sz w:val="20"/>
          <w:szCs w:val="20"/>
          <w:lang w:eastAsia="es-PE"/>
        </w:rPr>
        <w:t xml:space="preserve"> judiciales a que hubiera lugar; </w:t>
      </w:r>
      <w:r w:rsidR="009474BC" w:rsidRPr="00990CB0">
        <w:rPr>
          <w:rFonts w:ascii="Arial" w:eastAsia="Times New Roman" w:hAnsi="Arial" w:cs="Arial"/>
          <w:bCs/>
          <w:sz w:val="20"/>
          <w:szCs w:val="20"/>
          <w:lang w:eastAsia="es-PE"/>
        </w:rPr>
        <w:t>9</w:t>
      </w:r>
      <w:r w:rsidR="00F25936" w:rsidRPr="00990CB0">
        <w:rPr>
          <w:rFonts w:ascii="Arial" w:eastAsia="Times New Roman" w:hAnsi="Arial" w:cs="Arial"/>
          <w:bCs/>
          <w:sz w:val="20"/>
          <w:szCs w:val="20"/>
          <w:lang w:eastAsia="es-PE"/>
        </w:rPr>
        <w:t xml:space="preserve">) sobre </w:t>
      </w:r>
      <w:r w:rsidRPr="00990CB0">
        <w:rPr>
          <w:rFonts w:ascii="Arial" w:eastAsia="Times New Roman" w:hAnsi="Arial" w:cs="Arial"/>
          <w:bCs/>
          <w:sz w:val="20"/>
          <w:szCs w:val="20"/>
          <w:lang w:eastAsia="es-PE"/>
        </w:rPr>
        <w:t>la persona natural o jurídica recae una sentencia condenatoria firme por delito de minería ilegal, lavado de activos conforme al Decreto Legislativo N° 1106 y sus modificatorias, o trata de personas</w:t>
      </w:r>
      <w:r w:rsidR="009474BC" w:rsidRPr="00990CB0">
        <w:rPr>
          <w:rFonts w:ascii="Arial" w:eastAsia="Times New Roman" w:hAnsi="Arial" w:cs="Arial"/>
          <w:bCs/>
          <w:sz w:val="20"/>
          <w:szCs w:val="20"/>
          <w:lang w:eastAsia="es-PE"/>
        </w:rPr>
        <w:t>, delito tributario o aduanero.</w:t>
      </w:r>
    </w:p>
    <w:p w14:paraId="3ECC8884" w14:textId="77777777" w:rsidR="00455C8D" w:rsidRPr="00990CB0" w:rsidRDefault="00455C8D" w:rsidP="00455C8D">
      <w:pPr>
        <w:pStyle w:val="Prrafodelista"/>
        <w:spacing w:after="0" w:line="240" w:lineRule="auto"/>
        <w:ind w:left="426"/>
        <w:jc w:val="both"/>
        <w:rPr>
          <w:rFonts w:ascii="Arial" w:eastAsia="Times New Roman" w:hAnsi="Arial" w:cs="Arial"/>
          <w:bCs/>
          <w:sz w:val="20"/>
          <w:szCs w:val="20"/>
          <w:lang w:eastAsia="es-PE"/>
        </w:rPr>
      </w:pPr>
    </w:p>
    <w:p w14:paraId="479E1747" w14:textId="53C9CC8D" w:rsidR="00455C8D" w:rsidRPr="00990CB0" w:rsidRDefault="005133D1" w:rsidP="00455C8D">
      <w:pPr>
        <w:pStyle w:val="Prrafodelista"/>
        <w:spacing w:after="0" w:line="240" w:lineRule="auto"/>
        <w:ind w:left="426"/>
        <w:jc w:val="both"/>
        <w:rPr>
          <w:rFonts w:ascii="Arial" w:eastAsia="Times New Roman" w:hAnsi="Arial" w:cs="Arial"/>
          <w:bCs/>
          <w:sz w:val="20"/>
          <w:szCs w:val="20"/>
          <w:lang w:eastAsia="es-PE"/>
        </w:rPr>
      </w:pPr>
      <w:r w:rsidRPr="00990CB0">
        <w:rPr>
          <w:rFonts w:ascii="Arial" w:eastAsia="Times New Roman" w:hAnsi="Arial" w:cs="Arial"/>
          <w:bCs/>
          <w:sz w:val="20"/>
          <w:szCs w:val="20"/>
          <w:lang w:eastAsia="es-PE"/>
        </w:rPr>
        <w:t xml:space="preserve">Cabe señalar cancelación de la inscripción en el RECPO, </w:t>
      </w:r>
      <w:r w:rsidRPr="00990CB0">
        <w:rPr>
          <w:rFonts w:ascii="Arial" w:eastAsia="Times New Roman" w:hAnsi="Arial" w:cs="Arial"/>
          <w:sz w:val="20"/>
          <w:szCs w:val="20"/>
          <w:lang w:eastAsia="es-PE"/>
        </w:rPr>
        <w:t>inhabilita al usuario a poder inscribirse nuevamente por un plazo de un año; y resaltar que l</w:t>
      </w:r>
      <w:r w:rsidRPr="00990CB0">
        <w:rPr>
          <w:rFonts w:ascii="Arial" w:eastAsia="Times New Roman" w:hAnsi="Arial" w:cs="Arial"/>
          <w:bCs/>
          <w:sz w:val="20"/>
          <w:szCs w:val="20"/>
          <w:lang w:eastAsia="es-PE"/>
        </w:rPr>
        <w:t>as personas naturales o jurídicas que no se hayan inscrito en el RECPO conforme a los plazos que establece el presente decreto supremo y continúen realizando la comercialización y/o beneficio de oro, quedan inhabilitadas para inscribirse en el mencionado registro por un plazo de dos años, sin perjuicio de las acciones civiles y/o penales que correspondan</w:t>
      </w:r>
      <w:bookmarkStart w:id="4" w:name="_Toc37433865"/>
      <w:bookmarkEnd w:id="3"/>
      <w:r w:rsidR="009474BC" w:rsidRPr="00990CB0">
        <w:rPr>
          <w:rFonts w:ascii="Arial" w:eastAsia="Times New Roman" w:hAnsi="Arial" w:cs="Arial"/>
          <w:bCs/>
          <w:sz w:val="20"/>
          <w:szCs w:val="20"/>
          <w:lang w:eastAsia="es-PE"/>
        </w:rPr>
        <w:t xml:space="preserve">. Debe precisarse que aquella persona que compre oro sin encontrarse registrado en el RECPO podría estar sujeto al delito de comercio clandestino previsto en el artículo </w:t>
      </w:r>
      <w:r w:rsidR="00990CB0" w:rsidRPr="00990CB0">
        <w:rPr>
          <w:rFonts w:ascii="Arial" w:eastAsia="Times New Roman" w:hAnsi="Arial" w:cs="Arial"/>
          <w:bCs/>
          <w:sz w:val="20"/>
          <w:szCs w:val="20"/>
          <w:lang w:eastAsia="es-PE"/>
        </w:rPr>
        <w:t>272</w:t>
      </w:r>
      <w:r w:rsidR="009474BC" w:rsidRPr="00990CB0">
        <w:rPr>
          <w:rFonts w:ascii="Arial" w:eastAsia="Times New Roman" w:hAnsi="Arial" w:cs="Arial"/>
          <w:bCs/>
          <w:sz w:val="20"/>
          <w:szCs w:val="20"/>
          <w:lang w:eastAsia="es-PE"/>
        </w:rPr>
        <w:t xml:space="preserve"> del Código Penal.</w:t>
      </w:r>
    </w:p>
    <w:p w14:paraId="16EFEB24" w14:textId="77777777" w:rsidR="00455C8D" w:rsidRPr="00990CB0" w:rsidRDefault="00455C8D" w:rsidP="00455C8D">
      <w:pPr>
        <w:pStyle w:val="Prrafodelista"/>
        <w:spacing w:after="0" w:line="240" w:lineRule="auto"/>
        <w:ind w:left="426"/>
        <w:jc w:val="both"/>
        <w:rPr>
          <w:rFonts w:ascii="Arial" w:eastAsia="Times New Roman" w:hAnsi="Arial" w:cs="Arial"/>
          <w:bCs/>
          <w:sz w:val="20"/>
          <w:szCs w:val="20"/>
          <w:lang w:eastAsia="es-PE"/>
        </w:rPr>
      </w:pPr>
    </w:p>
    <w:p w14:paraId="0D1C9095" w14:textId="77777777" w:rsidR="00C815D6" w:rsidRPr="00990CB0" w:rsidRDefault="00AE3797" w:rsidP="00455C8D">
      <w:pPr>
        <w:pStyle w:val="Prrafodelista"/>
        <w:spacing w:after="0" w:line="240" w:lineRule="auto"/>
        <w:ind w:left="426"/>
        <w:jc w:val="both"/>
        <w:rPr>
          <w:rFonts w:ascii="Arial" w:eastAsia="Times New Roman" w:hAnsi="Arial" w:cs="Arial"/>
          <w:sz w:val="20"/>
          <w:szCs w:val="20"/>
          <w:shd w:val="clear" w:color="auto" w:fill="FFFFFF"/>
          <w:lang w:eastAsia="es-PE"/>
        </w:rPr>
      </w:pPr>
      <w:r w:rsidRPr="00990CB0">
        <w:rPr>
          <w:rFonts w:ascii="Arial" w:eastAsia="Times New Roman" w:hAnsi="Arial" w:cs="Arial"/>
          <w:bCs/>
          <w:sz w:val="20"/>
          <w:szCs w:val="20"/>
          <w:lang w:eastAsia="es-PE"/>
        </w:rPr>
        <w:t xml:space="preserve">Por otro lado, se contempla disposiciones orientadas a la capacitación y orientación sobre </w:t>
      </w:r>
      <w:r w:rsidRPr="00990CB0">
        <w:rPr>
          <w:rFonts w:ascii="Arial" w:eastAsia="Times New Roman" w:hAnsi="Arial" w:cs="Arial"/>
          <w:sz w:val="20"/>
          <w:szCs w:val="20"/>
          <w:shd w:val="clear" w:color="auto" w:fill="FDFDFD"/>
          <w:lang w:eastAsia="es-PE"/>
        </w:rPr>
        <w:t>los procedimientos que involucran la comercialización y el beneficio de oro; para lo cual se puede requerir apoyo a la Superintendencia Nacional de Aduanas y de Administración Tributaria – SUNAT y otras entidades u organizaciones que contribuyan para fortalecer los conocimientos de los actores antes señalados.</w:t>
      </w:r>
      <w:r w:rsidRPr="00990CB0">
        <w:rPr>
          <w:rFonts w:ascii="Arial" w:eastAsia="Times New Roman" w:hAnsi="Arial" w:cs="Arial"/>
          <w:sz w:val="20"/>
          <w:szCs w:val="20"/>
          <w:lang w:eastAsia="es-PE"/>
        </w:rPr>
        <w:t xml:space="preserve"> Asimismo, se contempla que Ministerio de Energía y Minas, a través de la Dirección General de Formalización Minera puede suscribir convenios de cooperación con el Ministerio de Economía y finanzas y con entidades internacionales, u organizaciones con la finalidad de intercambiar experiencias, buenas prácticas, información y conocimiento sobre la comercialización del oro, en el marco de interoperabilidad del RECPO.</w:t>
      </w:r>
    </w:p>
    <w:p w14:paraId="1BE36911" w14:textId="77777777" w:rsidR="00B63020" w:rsidRPr="00990CB0" w:rsidRDefault="00B63020" w:rsidP="00B63020">
      <w:pPr>
        <w:spacing w:after="0" w:line="240" w:lineRule="auto"/>
        <w:jc w:val="both"/>
        <w:outlineLvl w:val="0"/>
        <w:rPr>
          <w:rFonts w:ascii="Arial" w:eastAsia="Times New Roman" w:hAnsi="Arial" w:cs="Arial"/>
          <w:sz w:val="20"/>
          <w:szCs w:val="20"/>
          <w:lang w:eastAsia="es-PE"/>
        </w:rPr>
      </w:pPr>
    </w:p>
    <w:p w14:paraId="7E4268D8" w14:textId="4AAE9A98" w:rsidR="00B63020" w:rsidRPr="00990CB0" w:rsidRDefault="00146B2F" w:rsidP="00146B2F">
      <w:pPr>
        <w:spacing w:after="0" w:line="240" w:lineRule="auto"/>
        <w:ind w:left="426"/>
        <w:jc w:val="both"/>
        <w:outlineLvl w:val="0"/>
        <w:rPr>
          <w:rFonts w:ascii="Arial" w:eastAsia="Times New Roman" w:hAnsi="Arial" w:cs="Arial"/>
          <w:bCs/>
          <w:sz w:val="20"/>
          <w:szCs w:val="20"/>
          <w:lang w:eastAsia="es-PE"/>
        </w:rPr>
      </w:pPr>
      <w:bookmarkStart w:id="5" w:name="_Toc37433867"/>
      <w:bookmarkEnd w:id="4"/>
      <w:r w:rsidRPr="00990CB0">
        <w:rPr>
          <w:rFonts w:ascii="Arial" w:eastAsia="Times New Roman" w:hAnsi="Arial" w:cs="Arial"/>
          <w:bCs/>
          <w:sz w:val="20"/>
          <w:szCs w:val="20"/>
          <w:lang w:eastAsia="es-PE"/>
        </w:rPr>
        <w:t>Finalmente</w:t>
      </w:r>
      <w:r w:rsidR="00B63020" w:rsidRPr="00990CB0">
        <w:rPr>
          <w:rFonts w:ascii="Arial" w:eastAsia="Times New Roman" w:hAnsi="Arial" w:cs="Arial"/>
          <w:bCs/>
          <w:sz w:val="20"/>
          <w:szCs w:val="20"/>
          <w:lang w:eastAsia="es-PE"/>
        </w:rPr>
        <w:t>,</w:t>
      </w:r>
      <w:r w:rsidRPr="00990CB0">
        <w:rPr>
          <w:rFonts w:ascii="Arial" w:eastAsia="Times New Roman" w:hAnsi="Arial" w:cs="Arial"/>
          <w:bCs/>
          <w:sz w:val="20"/>
          <w:szCs w:val="20"/>
          <w:lang w:eastAsia="es-PE"/>
        </w:rPr>
        <w:t xml:space="preserve"> el Decreto Supremo e</w:t>
      </w:r>
      <w:r w:rsidR="00B63020" w:rsidRPr="00990CB0">
        <w:rPr>
          <w:rFonts w:ascii="Arial" w:eastAsia="Times New Roman" w:hAnsi="Arial" w:cs="Arial"/>
          <w:bCs/>
          <w:sz w:val="20"/>
          <w:szCs w:val="20"/>
          <w:lang w:eastAsia="es-PE"/>
        </w:rPr>
        <w:t xml:space="preserve">stablece una moratoria de treinta (30) días calendario para su entrada en vigencia, plazo necesario para realizar las labores de difusión de la norma y la emisión de la Resolución Directoral señala en el </w:t>
      </w:r>
      <w:r w:rsidR="00B7676C" w:rsidRPr="00990CB0">
        <w:rPr>
          <w:rFonts w:ascii="Arial" w:eastAsia="Times New Roman" w:hAnsi="Arial" w:cs="Arial"/>
          <w:bCs/>
          <w:sz w:val="20"/>
          <w:szCs w:val="20"/>
          <w:lang w:eastAsia="es-PE"/>
        </w:rPr>
        <w:t>artículo 12.</w:t>
      </w:r>
    </w:p>
    <w:bookmarkEnd w:id="5"/>
    <w:p w14:paraId="54BD2519" w14:textId="77777777" w:rsidR="00C815D6" w:rsidRPr="00990CB0" w:rsidRDefault="00C815D6" w:rsidP="00C815D6">
      <w:pPr>
        <w:spacing w:after="0" w:line="240" w:lineRule="auto"/>
        <w:jc w:val="center"/>
        <w:outlineLvl w:val="0"/>
        <w:rPr>
          <w:rFonts w:ascii="Arial" w:eastAsia="Times New Roman" w:hAnsi="Arial" w:cs="Arial"/>
          <w:bCs/>
          <w:sz w:val="20"/>
          <w:szCs w:val="20"/>
          <w:lang w:eastAsia="es-PE"/>
        </w:rPr>
      </w:pPr>
    </w:p>
    <w:p w14:paraId="77450905" w14:textId="77777777" w:rsidR="00C815D6" w:rsidRPr="00990CB0" w:rsidRDefault="00B7676C" w:rsidP="00A760B8">
      <w:pPr>
        <w:spacing w:after="0" w:line="240" w:lineRule="auto"/>
        <w:ind w:firstLine="426"/>
        <w:outlineLvl w:val="0"/>
        <w:rPr>
          <w:rFonts w:ascii="Arial" w:eastAsia="Times New Roman" w:hAnsi="Arial" w:cs="Arial"/>
          <w:bCs/>
          <w:i/>
          <w:sz w:val="20"/>
          <w:szCs w:val="20"/>
          <w:lang w:eastAsia="es-PE"/>
        </w:rPr>
      </w:pPr>
      <w:r w:rsidRPr="00990CB0">
        <w:rPr>
          <w:rFonts w:ascii="Arial" w:eastAsia="Times New Roman" w:hAnsi="Arial" w:cs="Arial"/>
          <w:bCs/>
          <w:i/>
          <w:sz w:val="20"/>
          <w:szCs w:val="20"/>
          <w:lang w:eastAsia="es-PE"/>
        </w:rPr>
        <w:t>Disposiciones complementarias</w:t>
      </w:r>
    </w:p>
    <w:p w14:paraId="2E77F5F6" w14:textId="77777777" w:rsidR="00B7676C" w:rsidRPr="00990CB0" w:rsidRDefault="00B7676C" w:rsidP="00B7676C">
      <w:pPr>
        <w:spacing w:after="0" w:line="240" w:lineRule="auto"/>
        <w:outlineLvl w:val="0"/>
        <w:rPr>
          <w:rFonts w:ascii="Arial" w:eastAsia="Times New Roman" w:hAnsi="Arial" w:cs="Arial"/>
          <w:bCs/>
          <w:sz w:val="20"/>
          <w:szCs w:val="20"/>
          <w:lang w:eastAsia="es-PE"/>
        </w:rPr>
      </w:pPr>
    </w:p>
    <w:p w14:paraId="4B239CA2" w14:textId="77777777" w:rsidR="00B7676C" w:rsidRPr="00990CB0" w:rsidRDefault="00B7676C" w:rsidP="00A760B8">
      <w:pPr>
        <w:spacing w:after="0" w:line="240" w:lineRule="auto"/>
        <w:ind w:left="426"/>
        <w:outlineLvl w:val="0"/>
        <w:rPr>
          <w:rFonts w:ascii="Arial" w:eastAsia="Times New Roman" w:hAnsi="Arial" w:cs="Arial"/>
          <w:bCs/>
          <w:sz w:val="20"/>
          <w:szCs w:val="20"/>
          <w:lang w:eastAsia="es-PE"/>
        </w:rPr>
      </w:pPr>
      <w:r w:rsidRPr="00990CB0">
        <w:rPr>
          <w:rFonts w:ascii="Arial" w:eastAsia="Times New Roman" w:hAnsi="Arial" w:cs="Arial"/>
          <w:bCs/>
          <w:sz w:val="20"/>
          <w:szCs w:val="20"/>
          <w:lang w:eastAsia="es-PE"/>
        </w:rPr>
        <w:t xml:space="preserve">La norma señala que la </w:t>
      </w:r>
      <w:r w:rsidRPr="00990CB0">
        <w:rPr>
          <w:rFonts w:ascii="Arial" w:eastAsia="Times New Roman" w:hAnsi="Arial" w:cs="Arial"/>
          <w:sz w:val="20"/>
          <w:szCs w:val="20"/>
          <w:lang w:eastAsia="es-PE"/>
        </w:rPr>
        <w:t xml:space="preserve">SUNAT está facultada para hacer uso de la plataforma virtual del REPCO con la finalidad de cumplir con sus funciones de control y fiscalización aplicable al oro establecidas en la tercera disposición complementaria final del Decreto Legislativo N° 1107.  </w:t>
      </w:r>
    </w:p>
    <w:p w14:paraId="303CCA85" w14:textId="77777777" w:rsidR="00C815D6" w:rsidRPr="00990CB0" w:rsidRDefault="00C815D6" w:rsidP="00C815D6">
      <w:pPr>
        <w:spacing w:after="0" w:line="240" w:lineRule="auto"/>
        <w:outlineLvl w:val="0"/>
        <w:rPr>
          <w:rFonts w:ascii="Arial" w:eastAsia="Times New Roman" w:hAnsi="Arial" w:cs="Arial"/>
          <w:bCs/>
          <w:sz w:val="20"/>
          <w:szCs w:val="20"/>
          <w:lang w:eastAsia="es-PE"/>
        </w:rPr>
      </w:pPr>
      <w:bookmarkStart w:id="6" w:name="_Toc37433872"/>
    </w:p>
    <w:bookmarkEnd w:id="6"/>
    <w:p w14:paraId="69856D2D" w14:textId="77777777" w:rsidR="00C815D6" w:rsidRPr="00990CB0" w:rsidRDefault="000475D3" w:rsidP="00A760B8">
      <w:pPr>
        <w:spacing w:after="0" w:line="240" w:lineRule="auto"/>
        <w:ind w:left="426"/>
        <w:jc w:val="both"/>
        <w:rPr>
          <w:rFonts w:ascii="Arial" w:eastAsia="Times New Roman" w:hAnsi="Arial" w:cs="Arial"/>
          <w:sz w:val="20"/>
          <w:szCs w:val="20"/>
          <w:lang w:eastAsia="es-PE"/>
        </w:rPr>
      </w:pPr>
      <w:r w:rsidRPr="00990CB0">
        <w:rPr>
          <w:rFonts w:ascii="Arial" w:eastAsia="Times New Roman" w:hAnsi="Arial" w:cs="Arial"/>
          <w:bCs/>
          <w:sz w:val="20"/>
          <w:szCs w:val="20"/>
          <w:lang w:eastAsia="es-PE"/>
        </w:rPr>
        <w:lastRenderedPageBreak/>
        <w:t>Además, respecto a las casas de compra y venta de oro</w:t>
      </w:r>
      <w:r w:rsidRPr="00990CB0">
        <w:rPr>
          <w:rFonts w:ascii="Arial" w:eastAsia="Times New Roman" w:hAnsi="Arial" w:cs="Arial"/>
          <w:sz w:val="20"/>
          <w:szCs w:val="20"/>
          <w:lang w:eastAsia="es-PE"/>
        </w:rPr>
        <w:t xml:space="preserve"> </w:t>
      </w:r>
      <w:r w:rsidRPr="00990CB0">
        <w:rPr>
          <w:rFonts w:ascii="Arial" w:eastAsia="Times New Roman" w:hAnsi="Arial" w:cs="Arial"/>
          <w:bCs/>
          <w:sz w:val="20"/>
          <w:szCs w:val="20"/>
          <w:lang w:eastAsia="es-PE"/>
        </w:rPr>
        <w:t>que adquieran</w:t>
      </w:r>
      <w:r w:rsidR="00C815D6" w:rsidRPr="00990CB0">
        <w:rPr>
          <w:rFonts w:ascii="Arial" w:eastAsia="Times New Roman" w:hAnsi="Arial" w:cs="Arial"/>
          <w:bCs/>
          <w:sz w:val="20"/>
          <w:szCs w:val="20"/>
          <w:lang w:eastAsia="es-PE"/>
        </w:rPr>
        <w:t xml:space="preserve"> oro de </w:t>
      </w:r>
      <w:r w:rsidR="00C815D6" w:rsidRPr="00990CB0">
        <w:rPr>
          <w:rFonts w:ascii="Arial" w:eastAsia="Times New Roman" w:hAnsi="Arial" w:cs="Arial"/>
          <w:sz w:val="20"/>
          <w:szCs w:val="20"/>
          <w:lang w:eastAsia="es-PE"/>
        </w:rPr>
        <w:t xml:space="preserve">pequeños productores mineros y productores mineros artesanales </w:t>
      </w:r>
      <w:r w:rsidR="00C815D6" w:rsidRPr="00990CB0">
        <w:rPr>
          <w:rFonts w:ascii="Arial" w:eastAsia="Times New Roman" w:hAnsi="Arial" w:cs="Arial"/>
          <w:sz w:val="20"/>
          <w:szCs w:val="20"/>
          <w:shd w:val="clear" w:color="auto" w:fill="FFFFFF"/>
          <w:lang w:eastAsia="es-PE"/>
        </w:rPr>
        <w:t xml:space="preserve">formales o en proceso de formalización </w:t>
      </w:r>
      <w:r w:rsidR="00C815D6" w:rsidRPr="00990CB0">
        <w:rPr>
          <w:rFonts w:ascii="Arial" w:eastAsia="Times New Roman" w:hAnsi="Arial" w:cs="Arial"/>
          <w:sz w:val="20"/>
          <w:szCs w:val="20"/>
          <w:lang w:eastAsia="es-PE"/>
        </w:rPr>
        <w:t>y de las personas registradas en el Padrón de Terceras Personas Naturales y Seleccionadores Manuales de Oro</w:t>
      </w:r>
      <w:r w:rsidR="00820B78" w:rsidRPr="00990CB0">
        <w:rPr>
          <w:rFonts w:ascii="Arial" w:eastAsia="Times New Roman" w:hAnsi="Arial" w:cs="Arial"/>
          <w:sz w:val="20"/>
          <w:szCs w:val="20"/>
          <w:lang w:eastAsia="es-PE"/>
        </w:rPr>
        <w:t xml:space="preserve"> señala que</w:t>
      </w:r>
      <w:r w:rsidR="00C815D6" w:rsidRPr="00990CB0">
        <w:rPr>
          <w:rFonts w:ascii="Arial" w:eastAsia="Times New Roman" w:hAnsi="Arial" w:cs="Arial"/>
          <w:sz w:val="20"/>
          <w:szCs w:val="20"/>
          <w:lang w:eastAsia="es-PE"/>
        </w:rPr>
        <w:t xml:space="preserve"> deberán inscribirse en el RECPO y contar con el correspondiente Certificado de Origen de oro. En los casos en que estas solo adquieran joyería en desuso no deberán realizar dicha inscripción. </w:t>
      </w:r>
    </w:p>
    <w:p w14:paraId="3EBA3C80" w14:textId="77777777" w:rsidR="001F13A5" w:rsidRPr="00990CB0" w:rsidRDefault="001F13A5" w:rsidP="00C815D6">
      <w:pPr>
        <w:spacing w:after="0" w:line="240" w:lineRule="auto"/>
        <w:jc w:val="both"/>
        <w:rPr>
          <w:rFonts w:ascii="Arial" w:eastAsia="Times New Roman" w:hAnsi="Arial" w:cs="Arial"/>
          <w:sz w:val="20"/>
          <w:szCs w:val="20"/>
          <w:lang w:eastAsia="es-PE"/>
        </w:rPr>
      </w:pPr>
    </w:p>
    <w:p w14:paraId="09AFDC96" w14:textId="77777777" w:rsidR="001F13A5" w:rsidRPr="00990CB0" w:rsidRDefault="00A760B8" w:rsidP="00A760B8">
      <w:pPr>
        <w:spacing w:after="0" w:line="240" w:lineRule="auto"/>
        <w:ind w:left="426"/>
        <w:jc w:val="both"/>
        <w:rPr>
          <w:rFonts w:ascii="Arial" w:eastAsia="Times New Roman" w:hAnsi="Arial" w:cs="Arial"/>
          <w:sz w:val="20"/>
          <w:szCs w:val="20"/>
          <w:lang w:eastAsia="es-PE"/>
        </w:rPr>
      </w:pPr>
      <w:r w:rsidRPr="00990CB0">
        <w:rPr>
          <w:rFonts w:ascii="Arial" w:eastAsia="Times New Roman" w:hAnsi="Arial" w:cs="Arial"/>
          <w:sz w:val="20"/>
          <w:szCs w:val="20"/>
          <w:lang w:eastAsia="es-PE"/>
        </w:rPr>
        <w:t>Por otro lado</w:t>
      </w:r>
      <w:r w:rsidR="001F13A5" w:rsidRPr="00990CB0">
        <w:rPr>
          <w:rFonts w:ascii="Arial" w:eastAsia="Times New Roman" w:hAnsi="Arial" w:cs="Arial"/>
          <w:sz w:val="20"/>
          <w:szCs w:val="20"/>
          <w:lang w:eastAsia="es-PE"/>
        </w:rPr>
        <w:t>, la norma dispone la creación de un registro de mineros formalizados denominado REFOR, cuya información será alimentada por las Direcciones Regionales de Energía y Minas y el Ministerio de Energía y Minas, para el caso de Lima Metropolitana, respecto de aquellos pequeños productores minero y productores mineros artesanales que cuentan con autorización de inicio</w:t>
      </w:r>
      <w:r w:rsidR="00E440CB" w:rsidRPr="00990CB0">
        <w:rPr>
          <w:rFonts w:ascii="Arial" w:eastAsia="Times New Roman" w:hAnsi="Arial" w:cs="Arial"/>
          <w:sz w:val="20"/>
          <w:szCs w:val="20"/>
          <w:lang w:eastAsia="es-PE"/>
        </w:rPr>
        <w:t xml:space="preserve"> o reinicio de actividad minera, así como de aquellos comprendidos en la Primera Disposición Complementaria Final del Decreto Supremo N° 043-2012-EM.</w:t>
      </w:r>
    </w:p>
    <w:p w14:paraId="3AAE110D" w14:textId="77777777" w:rsidR="001F13A5" w:rsidRPr="00990CB0" w:rsidRDefault="001F13A5" w:rsidP="00820B78">
      <w:pPr>
        <w:spacing w:after="0" w:line="240" w:lineRule="auto"/>
        <w:outlineLvl w:val="0"/>
        <w:rPr>
          <w:rFonts w:ascii="Arial" w:eastAsia="Times New Roman" w:hAnsi="Arial" w:cs="Arial"/>
          <w:bCs/>
          <w:sz w:val="20"/>
          <w:szCs w:val="20"/>
          <w:lang w:eastAsia="es-PE"/>
        </w:rPr>
      </w:pPr>
    </w:p>
    <w:p w14:paraId="42D10028" w14:textId="77777777" w:rsidR="00820B78" w:rsidRPr="00990CB0" w:rsidRDefault="00820B78" w:rsidP="00A760B8">
      <w:pPr>
        <w:spacing w:after="0" w:line="240" w:lineRule="auto"/>
        <w:ind w:firstLine="426"/>
        <w:outlineLvl w:val="0"/>
        <w:rPr>
          <w:rFonts w:ascii="Arial" w:eastAsia="Times New Roman" w:hAnsi="Arial" w:cs="Arial"/>
          <w:bCs/>
          <w:i/>
          <w:sz w:val="20"/>
          <w:szCs w:val="20"/>
          <w:lang w:eastAsia="es-PE"/>
        </w:rPr>
      </w:pPr>
      <w:r w:rsidRPr="00990CB0">
        <w:rPr>
          <w:rFonts w:ascii="Arial" w:eastAsia="Times New Roman" w:hAnsi="Arial" w:cs="Arial"/>
          <w:bCs/>
          <w:i/>
          <w:sz w:val="20"/>
          <w:szCs w:val="20"/>
          <w:lang w:eastAsia="es-PE"/>
        </w:rPr>
        <w:t>Disposiciones complementarias transitorias</w:t>
      </w:r>
    </w:p>
    <w:p w14:paraId="66FFCF9A" w14:textId="77777777" w:rsidR="00820B78" w:rsidRPr="00990CB0" w:rsidRDefault="00820B78" w:rsidP="00820B78">
      <w:pPr>
        <w:spacing w:after="0" w:line="240" w:lineRule="auto"/>
        <w:outlineLvl w:val="0"/>
        <w:rPr>
          <w:rFonts w:ascii="Arial" w:eastAsia="Times New Roman" w:hAnsi="Arial" w:cs="Arial"/>
          <w:bCs/>
          <w:sz w:val="20"/>
          <w:szCs w:val="20"/>
          <w:lang w:eastAsia="es-PE"/>
        </w:rPr>
      </w:pPr>
    </w:p>
    <w:p w14:paraId="7ECC3550" w14:textId="0AFC3803" w:rsidR="00820B78" w:rsidRPr="00990CB0" w:rsidRDefault="00F24BBE" w:rsidP="00A760B8">
      <w:pPr>
        <w:spacing w:after="0" w:line="240" w:lineRule="auto"/>
        <w:ind w:left="426"/>
        <w:jc w:val="both"/>
        <w:outlineLvl w:val="0"/>
        <w:rPr>
          <w:rFonts w:ascii="Arial" w:eastAsia="Times New Roman" w:hAnsi="Arial" w:cs="Arial"/>
          <w:bCs/>
          <w:kern w:val="36"/>
          <w:sz w:val="20"/>
          <w:szCs w:val="20"/>
          <w:lang w:eastAsia="es-PE"/>
        </w:rPr>
      </w:pPr>
      <w:bookmarkStart w:id="7" w:name="_Toc37433875"/>
      <w:r w:rsidRPr="00990CB0">
        <w:rPr>
          <w:rFonts w:ascii="Arial" w:eastAsia="Times New Roman" w:hAnsi="Arial" w:cs="Arial"/>
          <w:bCs/>
          <w:kern w:val="36"/>
          <w:sz w:val="20"/>
          <w:szCs w:val="20"/>
          <w:lang w:eastAsia="es-PE"/>
        </w:rPr>
        <w:t>La implementación de la presente norma será efectuada progresivamente en todo el país con la finalidad de capacitar y difundir el uso adecuado del aplicativo RECPO y del sistema de reporte de transacciones de compra del oro, en ese sentido, e</w:t>
      </w:r>
      <w:r w:rsidR="00820B78" w:rsidRPr="00990CB0">
        <w:rPr>
          <w:rFonts w:ascii="Arial" w:eastAsia="Times New Roman" w:hAnsi="Arial" w:cs="Arial"/>
          <w:bCs/>
          <w:kern w:val="36"/>
          <w:sz w:val="20"/>
          <w:szCs w:val="20"/>
          <w:lang w:eastAsia="es-PE"/>
        </w:rPr>
        <w:t xml:space="preserve">n la primera disposición </w:t>
      </w:r>
      <w:r w:rsidRPr="00990CB0">
        <w:rPr>
          <w:rFonts w:ascii="Arial" w:eastAsia="Times New Roman" w:hAnsi="Arial" w:cs="Arial"/>
          <w:bCs/>
          <w:kern w:val="36"/>
          <w:sz w:val="20"/>
          <w:szCs w:val="20"/>
          <w:lang w:eastAsia="es-PE"/>
        </w:rPr>
        <w:t>transitoria</w:t>
      </w:r>
      <w:r w:rsidR="00820B78" w:rsidRPr="00990CB0">
        <w:rPr>
          <w:rFonts w:ascii="Arial" w:eastAsia="Times New Roman" w:hAnsi="Arial" w:cs="Arial"/>
          <w:bCs/>
          <w:kern w:val="36"/>
          <w:sz w:val="20"/>
          <w:szCs w:val="20"/>
          <w:lang w:eastAsia="es-PE"/>
        </w:rPr>
        <w:t xml:space="preserve">, se establece que las disposiciones establecidas en el Decreto Supremo, respecto a la inscripción en el RECPO y reporte en línea de las operaciones de compra del oro se aplican de forma obligatoria a nivel nacional, </w:t>
      </w:r>
      <w:r w:rsidR="009474BC" w:rsidRPr="00990CB0">
        <w:rPr>
          <w:rFonts w:ascii="Arial" w:eastAsia="Times New Roman" w:hAnsi="Arial" w:cs="Arial"/>
          <w:bCs/>
          <w:kern w:val="36"/>
          <w:sz w:val="20"/>
          <w:szCs w:val="20"/>
          <w:lang w:eastAsia="es-PE"/>
        </w:rPr>
        <w:t xml:space="preserve">para esto, se han establecido plazos de implementación </w:t>
      </w:r>
      <w:r w:rsidR="00820B78" w:rsidRPr="00990CB0">
        <w:rPr>
          <w:rFonts w:ascii="Arial" w:eastAsia="Times New Roman" w:hAnsi="Arial" w:cs="Arial"/>
          <w:bCs/>
          <w:kern w:val="36"/>
          <w:sz w:val="20"/>
          <w:szCs w:val="20"/>
          <w:lang w:eastAsia="es-PE"/>
        </w:rPr>
        <w:t>de acuerdo al siguiente cronograma:</w:t>
      </w:r>
    </w:p>
    <w:p w14:paraId="7B262D41" w14:textId="77777777" w:rsidR="00820B78" w:rsidRPr="00990CB0" w:rsidRDefault="00820B78" w:rsidP="00820B78">
      <w:pPr>
        <w:spacing w:after="0" w:line="240" w:lineRule="auto"/>
        <w:outlineLvl w:val="0"/>
        <w:rPr>
          <w:rFonts w:ascii="Arial" w:eastAsia="Times New Roman" w:hAnsi="Arial" w:cs="Arial"/>
          <w:bCs/>
          <w:kern w:val="36"/>
          <w:sz w:val="20"/>
          <w:szCs w:val="20"/>
          <w:lang w:eastAsia="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3904"/>
      </w:tblGrid>
      <w:tr w:rsidR="00990CB0" w:rsidRPr="00990CB0" w14:paraId="33F554C6" w14:textId="77777777" w:rsidTr="002F54DC">
        <w:trPr>
          <w:jc w:val="center"/>
        </w:trPr>
        <w:tc>
          <w:tcPr>
            <w:tcW w:w="4105" w:type="dxa"/>
            <w:shd w:val="clear" w:color="auto" w:fill="auto"/>
          </w:tcPr>
          <w:p w14:paraId="02A305BC" w14:textId="77777777" w:rsidR="00820B78" w:rsidRPr="00990CB0" w:rsidRDefault="00820B78" w:rsidP="00820B78">
            <w:pPr>
              <w:spacing w:after="0" w:line="240" w:lineRule="auto"/>
              <w:outlineLvl w:val="0"/>
              <w:rPr>
                <w:rFonts w:ascii="Arial" w:eastAsia="Times New Roman" w:hAnsi="Arial" w:cs="Arial"/>
                <w:bCs/>
                <w:kern w:val="36"/>
                <w:sz w:val="20"/>
                <w:szCs w:val="20"/>
                <w:lang w:eastAsia="es-PE"/>
              </w:rPr>
            </w:pPr>
            <w:r w:rsidRPr="00990CB0">
              <w:rPr>
                <w:rFonts w:ascii="Arial" w:eastAsia="Times New Roman" w:hAnsi="Arial" w:cs="Arial"/>
                <w:bCs/>
                <w:kern w:val="36"/>
                <w:sz w:val="20"/>
                <w:szCs w:val="20"/>
                <w:lang w:eastAsia="es-PE"/>
              </w:rPr>
              <w:t>Tipo de comercializador</w:t>
            </w:r>
          </w:p>
        </w:tc>
        <w:tc>
          <w:tcPr>
            <w:tcW w:w="3904" w:type="dxa"/>
            <w:shd w:val="clear" w:color="auto" w:fill="auto"/>
          </w:tcPr>
          <w:p w14:paraId="431FBF29" w14:textId="168FCF52" w:rsidR="00820B78" w:rsidRPr="00990CB0" w:rsidRDefault="00820B78" w:rsidP="00820B78">
            <w:pPr>
              <w:spacing w:after="0" w:line="240" w:lineRule="auto"/>
              <w:outlineLvl w:val="0"/>
              <w:rPr>
                <w:rFonts w:ascii="Arial" w:eastAsia="Times New Roman" w:hAnsi="Arial" w:cs="Arial"/>
                <w:bCs/>
                <w:kern w:val="36"/>
                <w:sz w:val="20"/>
                <w:szCs w:val="20"/>
                <w:lang w:eastAsia="es-PE"/>
              </w:rPr>
            </w:pPr>
            <w:r w:rsidRPr="00990CB0">
              <w:rPr>
                <w:rFonts w:ascii="Arial" w:eastAsia="Times New Roman" w:hAnsi="Arial" w:cs="Arial"/>
                <w:bCs/>
                <w:kern w:val="36"/>
                <w:sz w:val="20"/>
                <w:szCs w:val="20"/>
                <w:lang w:eastAsia="es-PE"/>
              </w:rPr>
              <w:t>Plazo se contabiliza a partir de la vigencia del Decreto Supremo</w:t>
            </w:r>
          </w:p>
        </w:tc>
      </w:tr>
      <w:tr w:rsidR="00990CB0" w:rsidRPr="00990CB0" w14:paraId="7025CDA0" w14:textId="77777777" w:rsidTr="002F54DC">
        <w:trPr>
          <w:jc w:val="center"/>
        </w:trPr>
        <w:tc>
          <w:tcPr>
            <w:tcW w:w="4105" w:type="dxa"/>
            <w:shd w:val="clear" w:color="auto" w:fill="auto"/>
          </w:tcPr>
          <w:p w14:paraId="65C20858" w14:textId="77777777" w:rsidR="00820B78" w:rsidRPr="00990CB0" w:rsidRDefault="00820B78" w:rsidP="00820B78">
            <w:pPr>
              <w:spacing w:after="0" w:line="240" w:lineRule="auto"/>
              <w:outlineLvl w:val="0"/>
              <w:rPr>
                <w:rFonts w:ascii="Arial" w:eastAsia="Times New Roman" w:hAnsi="Arial" w:cs="Arial"/>
                <w:bCs/>
                <w:kern w:val="36"/>
                <w:sz w:val="20"/>
                <w:szCs w:val="20"/>
                <w:lang w:eastAsia="es-PE"/>
              </w:rPr>
            </w:pPr>
            <w:r w:rsidRPr="00990CB0">
              <w:rPr>
                <w:rFonts w:ascii="Arial" w:eastAsia="Times New Roman" w:hAnsi="Arial" w:cs="Arial"/>
                <w:bCs/>
                <w:kern w:val="36"/>
                <w:sz w:val="20"/>
                <w:szCs w:val="20"/>
                <w:lang w:eastAsia="es-PE"/>
              </w:rPr>
              <w:t xml:space="preserve">Planta de Beneficio </w:t>
            </w:r>
          </w:p>
        </w:tc>
        <w:tc>
          <w:tcPr>
            <w:tcW w:w="3904" w:type="dxa"/>
            <w:shd w:val="clear" w:color="auto" w:fill="auto"/>
          </w:tcPr>
          <w:p w14:paraId="5FC6FEB2" w14:textId="77777777" w:rsidR="00820B78" w:rsidRPr="00990CB0" w:rsidRDefault="00820B78" w:rsidP="00820B78">
            <w:pPr>
              <w:spacing w:after="0" w:line="240" w:lineRule="auto"/>
              <w:outlineLvl w:val="0"/>
              <w:rPr>
                <w:rFonts w:ascii="Arial" w:eastAsia="Times New Roman" w:hAnsi="Arial" w:cs="Arial"/>
                <w:bCs/>
                <w:kern w:val="36"/>
                <w:sz w:val="20"/>
                <w:szCs w:val="20"/>
                <w:lang w:eastAsia="es-PE"/>
              </w:rPr>
            </w:pPr>
            <w:r w:rsidRPr="00990CB0">
              <w:rPr>
                <w:rFonts w:ascii="Arial" w:eastAsia="Times New Roman" w:hAnsi="Arial" w:cs="Arial"/>
                <w:bCs/>
                <w:kern w:val="36"/>
                <w:sz w:val="20"/>
                <w:szCs w:val="20"/>
                <w:lang w:eastAsia="es-PE"/>
              </w:rPr>
              <w:t xml:space="preserve">Hasta 90 días calendario </w:t>
            </w:r>
          </w:p>
        </w:tc>
      </w:tr>
      <w:tr w:rsidR="00990CB0" w:rsidRPr="00990CB0" w14:paraId="5A7D951B" w14:textId="77777777" w:rsidTr="002F54DC">
        <w:trPr>
          <w:jc w:val="center"/>
        </w:trPr>
        <w:tc>
          <w:tcPr>
            <w:tcW w:w="4105" w:type="dxa"/>
            <w:shd w:val="clear" w:color="auto" w:fill="auto"/>
          </w:tcPr>
          <w:p w14:paraId="754E6098" w14:textId="77777777" w:rsidR="00820B78" w:rsidRPr="00990CB0" w:rsidRDefault="00820B78" w:rsidP="00820B78">
            <w:pPr>
              <w:spacing w:after="0" w:line="240" w:lineRule="auto"/>
              <w:outlineLvl w:val="0"/>
              <w:rPr>
                <w:rFonts w:ascii="Arial" w:eastAsia="Times New Roman" w:hAnsi="Arial" w:cs="Arial"/>
                <w:bCs/>
                <w:kern w:val="36"/>
                <w:sz w:val="20"/>
                <w:szCs w:val="20"/>
                <w:lang w:eastAsia="es-PE"/>
              </w:rPr>
            </w:pPr>
            <w:r w:rsidRPr="00990CB0">
              <w:rPr>
                <w:rFonts w:ascii="Arial" w:eastAsia="Times New Roman" w:hAnsi="Arial" w:cs="Arial"/>
                <w:bCs/>
                <w:kern w:val="36"/>
                <w:sz w:val="20"/>
                <w:szCs w:val="20"/>
                <w:lang w:eastAsia="es-PE"/>
              </w:rPr>
              <w:t xml:space="preserve">Procesadores </w:t>
            </w:r>
          </w:p>
        </w:tc>
        <w:tc>
          <w:tcPr>
            <w:tcW w:w="3904" w:type="dxa"/>
            <w:shd w:val="clear" w:color="auto" w:fill="auto"/>
          </w:tcPr>
          <w:p w14:paraId="5ADC8F98" w14:textId="77777777" w:rsidR="00820B78" w:rsidRPr="00990CB0" w:rsidRDefault="00820B78" w:rsidP="00820B78">
            <w:pPr>
              <w:spacing w:after="0" w:line="240" w:lineRule="auto"/>
              <w:outlineLvl w:val="0"/>
              <w:rPr>
                <w:rFonts w:ascii="Arial" w:eastAsia="Times New Roman" w:hAnsi="Arial" w:cs="Arial"/>
                <w:bCs/>
                <w:kern w:val="36"/>
                <w:sz w:val="20"/>
                <w:szCs w:val="20"/>
                <w:lang w:eastAsia="es-PE"/>
              </w:rPr>
            </w:pPr>
            <w:r w:rsidRPr="00990CB0">
              <w:rPr>
                <w:rFonts w:ascii="Arial" w:eastAsia="Times New Roman" w:hAnsi="Arial" w:cs="Arial"/>
                <w:bCs/>
                <w:kern w:val="36"/>
                <w:sz w:val="20"/>
                <w:szCs w:val="20"/>
                <w:lang w:eastAsia="es-PE"/>
              </w:rPr>
              <w:t>Hasta 150 días calendario</w:t>
            </w:r>
          </w:p>
        </w:tc>
      </w:tr>
      <w:tr w:rsidR="00820B78" w:rsidRPr="00990CB0" w14:paraId="20D63ABC" w14:textId="77777777" w:rsidTr="002F54DC">
        <w:trPr>
          <w:jc w:val="center"/>
        </w:trPr>
        <w:tc>
          <w:tcPr>
            <w:tcW w:w="4105" w:type="dxa"/>
            <w:shd w:val="clear" w:color="auto" w:fill="auto"/>
          </w:tcPr>
          <w:p w14:paraId="1ECE1350" w14:textId="77777777" w:rsidR="00820B78" w:rsidRPr="00990CB0" w:rsidRDefault="00820B78" w:rsidP="00820B78">
            <w:pPr>
              <w:spacing w:after="0" w:line="240" w:lineRule="auto"/>
              <w:outlineLvl w:val="0"/>
              <w:rPr>
                <w:rFonts w:ascii="Arial" w:eastAsia="Times New Roman" w:hAnsi="Arial" w:cs="Arial"/>
                <w:bCs/>
                <w:kern w:val="36"/>
                <w:sz w:val="20"/>
                <w:szCs w:val="20"/>
                <w:lang w:eastAsia="es-PE"/>
              </w:rPr>
            </w:pPr>
            <w:r w:rsidRPr="00990CB0">
              <w:rPr>
                <w:rFonts w:ascii="Arial" w:eastAsia="Times New Roman" w:hAnsi="Arial" w:cs="Arial"/>
                <w:bCs/>
                <w:kern w:val="36"/>
                <w:sz w:val="20"/>
                <w:szCs w:val="20"/>
                <w:lang w:eastAsia="es-PE"/>
              </w:rPr>
              <w:t>Comercializadores restantes</w:t>
            </w:r>
          </w:p>
        </w:tc>
        <w:tc>
          <w:tcPr>
            <w:tcW w:w="3904" w:type="dxa"/>
            <w:shd w:val="clear" w:color="auto" w:fill="auto"/>
          </w:tcPr>
          <w:p w14:paraId="62C7AA1E" w14:textId="77777777" w:rsidR="00820B78" w:rsidRPr="00990CB0" w:rsidRDefault="00820B78" w:rsidP="00820B78">
            <w:pPr>
              <w:spacing w:after="0" w:line="240" w:lineRule="auto"/>
              <w:outlineLvl w:val="0"/>
              <w:rPr>
                <w:rFonts w:ascii="Arial" w:eastAsia="Times New Roman" w:hAnsi="Arial" w:cs="Arial"/>
                <w:bCs/>
                <w:kern w:val="36"/>
                <w:sz w:val="20"/>
                <w:szCs w:val="20"/>
                <w:lang w:eastAsia="es-PE"/>
              </w:rPr>
            </w:pPr>
            <w:r w:rsidRPr="00990CB0">
              <w:rPr>
                <w:rFonts w:ascii="Arial" w:eastAsia="Times New Roman" w:hAnsi="Arial" w:cs="Arial"/>
                <w:bCs/>
                <w:kern w:val="36"/>
                <w:sz w:val="20"/>
                <w:szCs w:val="20"/>
                <w:lang w:eastAsia="es-PE"/>
              </w:rPr>
              <w:t>Hasta 180 días calendario</w:t>
            </w:r>
          </w:p>
        </w:tc>
      </w:tr>
    </w:tbl>
    <w:p w14:paraId="5597FF1C" w14:textId="77777777" w:rsidR="00820B78" w:rsidRPr="00990CB0" w:rsidRDefault="00820B78" w:rsidP="00820B78">
      <w:pPr>
        <w:spacing w:after="0" w:line="240" w:lineRule="auto"/>
        <w:outlineLvl w:val="0"/>
        <w:rPr>
          <w:rFonts w:ascii="Arial" w:eastAsia="Times New Roman" w:hAnsi="Arial" w:cs="Arial"/>
          <w:bCs/>
          <w:kern w:val="36"/>
          <w:sz w:val="20"/>
          <w:szCs w:val="20"/>
          <w:lang w:eastAsia="es-PE"/>
        </w:rPr>
      </w:pPr>
    </w:p>
    <w:p w14:paraId="4322B395" w14:textId="77777777" w:rsidR="00695AA7" w:rsidRPr="00990CB0" w:rsidRDefault="00695AA7" w:rsidP="00E612C3">
      <w:pPr>
        <w:spacing w:after="0" w:line="240" w:lineRule="auto"/>
        <w:ind w:left="426"/>
        <w:jc w:val="both"/>
        <w:outlineLvl w:val="0"/>
        <w:rPr>
          <w:rFonts w:ascii="Arial" w:eastAsia="Times New Roman" w:hAnsi="Arial" w:cs="Arial"/>
          <w:bCs/>
          <w:sz w:val="20"/>
          <w:szCs w:val="20"/>
          <w:lang w:eastAsia="es-PE"/>
        </w:rPr>
      </w:pPr>
      <w:r w:rsidRPr="00990CB0">
        <w:rPr>
          <w:rFonts w:ascii="Arial" w:eastAsia="Times New Roman" w:hAnsi="Arial" w:cs="Arial"/>
          <w:bCs/>
          <w:sz w:val="20"/>
          <w:szCs w:val="20"/>
          <w:lang w:eastAsia="es-PE"/>
        </w:rPr>
        <w:t xml:space="preserve">En ese sentido, la norma ha contemplado la inscripción inicial y obligatoria en el RECPO de un actor importante en la cadena de trazabilidad del oro como lo son las Plantas de Beneficio que compran oro, o prestan servicios a los pequeños productores mineros y productores mineros artesanales, respecto del producto de la actividad minera sin procesar, concentrado, refogado, relave o cualquier otro estado. Cabe señalar que tales plantas de beneficio deben estar alineadas a las Políticas implementadas y aplicadas por el Gobierno Central; en consecuencia, como actores importantes en la cadena de trazabilidad del oro deben promover la formalidad y no la ilegalidad. </w:t>
      </w:r>
    </w:p>
    <w:p w14:paraId="25502FE0" w14:textId="77777777" w:rsidR="00695AA7" w:rsidRPr="00990CB0" w:rsidRDefault="00695AA7" w:rsidP="00E612C3">
      <w:pPr>
        <w:spacing w:after="0" w:line="240" w:lineRule="auto"/>
        <w:ind w:left="426"/>
        <w:outlineLvl w:val="0"/>
        <w:rPr>
          <w:rFonts w:ascii="Arial" w:eastAsia="Times New Roman" w:hAnsi="Arial" w:cs="Arial"/>
          <w:bCs/>
          <w:sz w:val="20"/>
          <w:szCs w:val="20"/>
          <w:lang w:eastAsia="es-PE"/>
        </w:rPr>
      </w:pPr>
    </w:p>
    <w:p w14:paraId="10496890" w14:textId="3DC66EF3" w:rsidR="00E30CED" w:rsidRPr="00990CB0" w:rsidRDefault="005E7B9F" w:rsidP="00E612C3">
      <w:pPr>
        <w:spacing w:after="0" w:line="240" w:lineRule="auto"/>
        <w:ind w:left="426"/>
        <w:jc w:val="both"/>
        <w:outlineLvl w:val="0"/>
        <w:rPr>
          <w:rFonts w:ascii="Arial" w:eastAsia="Times New Roman" w:hAnsi="Arial" w:cs="Arial"/>
          <w:bCs/>
          <w:sz w:val="20"/>
          <w:szCs w:val="20"/>
          <w:lang w:eastAsia="es-PE"/>
        </w:rPr>
      </w:pPr>
      <w:r w:rsidRPr="00990CB0">
        <w:rPr>
          <w:rFonts w:ascii="Arial" w:eastAsia="Times New Roman" w:hAnsi="Arial" w:cs="Arial"/>
          <w:bCs/>
          <w:sz w:val="20"/>
          <w:szCs w:val="20"/>
          <w:lang w:eastAsia="es-PE"/>
        </w:rPr>
        <w:t xml:space="preserve">No </w:t>
      </w:r>
      <w:r w:rsidR="00D912D4" w:rsidRPr="00990CB0">
        <w:rPr>
          <w:rFonts w:ascii="Arial" w:eastAsia="Times New Roman" w:hAnsi="Arial" w:cs="Arial"/>
          <w:bCs/>
          <w:sz w:val="20"/>
          <w:szCs w:val="20"/>
          <w:lang w:eastAsia="es-PE"/>
        </w:rPr>
        <w:t>obstante,</w:t>
      </w:r>
      <w:r w:rsidRPr="00990CB0">
        <w:rPr>
          <w:rFonts w:ascii="Arial" w:eastAsia="Times New Roman" w:hAnsi="Arial" w:cs="Arial"/>
          <w:bCs/>
          <w:sz w:val="20"/>
          <w:szCs w:val="20"/>
          <w:lang w:eastAsia="es-PE"/>
        </w:rPr>
        <w:t xml:space="preserve"> el nuevo procedimiento de inscripción normado en el presente decreto supremo, la existencia de personas naturales y jurídicas que ya se encuentran registradas en el RECPO y que suman </w:t>
      </w:r>
      <w:bookmarkEnd w:id="7"/>
      <w:r w:rsidR="003E17DE" w:rsidRPr="00990CB0">
        <w:rPr>
          <w:rFonts w:ascii="Arial" w:eastAsia="Times New Roman" w:hAnsi="Arial" w:cs="Arial"/>
          <w:bCs/>
          <w:sz w:val="20"/>
          <w:szCs w:val="20"/>
          <w:lang w:eastAsia="es-PE"/>
        </w:rPr>
        <w:t xml:space="preserve">9,409 inscripciones </w:t>
      </w:r>
      <w:r w:rsidR="00E440CB" w:rsidRPr="00990CB0">
        <w:rPr>
          <w:rFonts w:ascii="Arial" w:eastAsia="Times New Roman" w:hAnsi="Arial" w:cs="Arial"/>
          <w:bCs/>
          <w:sz w:val="20"/>
          <w:szCs w:val="20"/>
          <w:lang w:eastAsia="es-PE"/>
        </w:rPr>
        <w:t>merece</w:t>
      </w:r>
      <w:r w:rsidR="003E17DE" w:rsidRPr="00990CB0">
        <w:rPr>
          <w:rFonts w:ascii="Arial" w:eastAsia="Times New Roman" w:hAnsi="Arial" w:cs="Arial"/>
          <w:bCs/>
          <w:sz w:val="20"/>
          <w:szCs w:val="20"/>
          <w:lang w:eastAsia="es-PE"/>
        </w:rPr>
        <w:t xml:space="preserve"> un tratamiento diferenciado. Para estos casos, la norma </w:t>
      </w:r>
      <w:r w:rsidR="00D912D4" w:rsidRPr="00990CB0">
        <w:rPr>
          <w:rFonts w:ascii="Arial" w:eastAsia="Times New Roman" w:hAnsi="Arial" w:cs="Arial"/>
          <w:bCs/>
          <w:sz w:val="20"/>
          <w:szCs w:val="20"/>
          <w:lang w:eastAsia="es-PE"/>
        </w:rPr>
        <w:t>dispone que</w:t>
      </w:r>
      <w:r w:rsidR="003E17DE" w:rsidRPr="00990CB0">
        <w:rPr>
          <w:rFonts w:ascii="Arial" w:eastAsia="Times New Roman" w:hAnsi="Arial" w:cs="Arial"/>
          <w:bCs/>
          <w:sz w:val="20"/>
          <w:szCs w:val="20"/>
          <w:lang w:eastAsia="es-PE"/>
        </w:rPr>
        <w:t xml:space="preserve"> </w:t>
      </w:r>
      <w:r w:rsidR="00E440CB" w:rsidRPr="00990CB0">
        <w:rPr>
          <w:rFonts w:ascii="Arial" w:eastAsia="Times New Roman" w:hAnsi="Arial" w:cs="Arial"/>
          <w:sz w:val="20"/>
          <w:szCs w:val="20"/>
          <w:lang w:eastAsia="es-PE"/>
        </w:rPr>
        <w:t>deban</w:t>
      </w:r>
      <w:r w:rsidR="00820B78" w:rsidRPr="00990CB0">
        <w:rPr>
          <w:rFonts w:ascii="Arial" w:eastAsia="Times New Roman" w:hAnsi="Arial" w:cs="Arial"/>
          <w:sz w:val="20"/>
          <w:szCs w:val="20"/>
          <w:lang w:eastAsia="es-PE"/>
        </w:rPr>
        <w:t xml:space="preserve"> adecuar la información contenida en el citado Registro conforme a la información </w:t>
      </w:r>
      <w:r w:rsidR="00BD160D" w:rsidRPr="00990CB0">
        <w:rPr>
          <w:rFonts w:ascii="Arial" w:eastAsia="Times New Roman" w:hAnsi="Arial" w:cs="Arial"/>
          <w:sz w:val="20"/>
          <w:szCs w:val="20"/>
          <w:lang w:eastAsia="es-PE"/>
        </w:rPr>
        <w:t xml:space="preserve">exigida en la </w:t>
      </w:r>
      <w:r w:rsidR="00820B78" w:rsidRPr="00990CB0">
        <w:rPr>
          <w:rFonts w:ascii="Arial" w:eastAsia="Times New Roman" w:hAnsi="Arial" w:cs="Arial"/>
          <w:sz w:val="20"/>
          <w:szCs w:val="20"/>
          <w:lang w:eastAsia="es-PE"/>
        </w:rPr>
        <w:t xml:space="preserve">norma, para lo cual tienen un plazo máximo de noventa (90) días calendario </w:t>
      </w:r>
      <w:r w:rsidR="00820B78" w:rsidRPr="00990CB0">
        <w:rPr>
          <w:rFonts w:ascii="Arial" w:eastAsia="Times New Roman" w:hAnsi="Arial" w:cs="Arial"/>
          <w:sz w:val="20"/>
          <w:szCs w:val="20"/>
          <w:shd w:val="clear" w:color="auto" w:fill="FFFFFF"/>
          <w:lang w:eastAsia="es-PE"/>
        </w:rPr>
        <w:t xml:space="preserve">contados a partir de la entrada en vigencia de la norma, bajo apercibimiento </w:t>
      </w:r>
      <w:r w:rsidR="00820B78" w:rsidRPr="00990CB0">
        <w:rPr>
          <w:rFonts w:ascii="Arial" w:eastAsia="Times New Roman" w:hAnsi="Arial" w:cs="Arial"/>
          <w:sz w:val="20"/>
          <w:szCs w:val="20"/>
          <w:lang w:eastAsia="es-PE"/>
        </w:rPr>
        <w:t>de ser excluidos</w:t>
      </w:r>
      <w:r w:rsidR="00BB0978" w:rsidRPr="00990CB0">
        <w:rPr>
          <w:rFonts w:ascii="Arial" w:eastAsia="Times New Roman" w:hAnsi="Arial" w:cs="Arial"/>
          <w:sz w:val="20"/>
          <w:szCs w:val="20"/>
          <w:lang w:eastAsia="es-PE"/>
        </w:rPr>
        <w:t xml:space="preserve"> automáticamente</w:t>
      </w:r>
      <w:r w:rsidR="00820B78" w:rsidRPr="00990CB0">
        <w:rPr>
          <w:rFonts w:ascii="Arial" w:eastAsia="Times New Roman" w:hAnsi="Arial" w:cs="Arial"/>
          <w:sz w:val="20"/>
          <w:szCs w:val="20"/>
          <w:lang w:eastAsia="es-PE"/>
        </w:rPr>
        <w:t xml:space="preserve"> del RECPO.</w:t>
      </w:r>
      <w:bookmarkStart w:id="8" w:name="_Toc37433877"/>
    </w:p>
    <w:p w14:paraId="6B3D1B06" w14:textId="77777777" w:rsidR="00E30CED" w:rsidRPr="00990CB0" w:rsidRDefault="00E30CED" w:rsidP="00E612C3">
      <w:pPr>
        <w:spacing w:after="0" w:line="240" w:lineRule="auto"/>
        <w:ind w:left="426"/>
        <w:jc w:val="both"/>
        <w:outlineLvl w:val="0"/>
        <w:rPr>
          <w:rFonts w:ascii="Arial" w:eastAsia="Times New Roman" w:hAnsi="Arial" w:cs="Arial"/>
          <w:bCs/>
          <w:sz w:val="20"/>
          <w:szCs w:val="20"/>
          <w:lang w:eastAsia="es-PE"/>
        </w:rPr>
      </w:pPr>
    </w:p>
    <w:p w14:paraId="2242B6A8" w14:textId="2008F918" w:rsidR="00E30CED" w:rsidRPr="00990CB0" w:rsidRDefault="00E30CED" w:rsidP="00E612C3">
      <w:pPr>
        <w:spacing w:after="0" w:line="240" w:lineRule="auto"/>
        <w:ind w:left="426"/>
        <w:jc w:val="both"/>
        <w:outlineLvl w:val="0"/>
        <w:rPr>
          <w:rFonts w:ascii="Arial" w:eastAsia="Times New Roman" w:hAnsi="Arial" w:cs="Arial"/>
          <w:bCs/>
          <w:sz w:val="20"/>
          <w:szCs w:val="20"/>
          <w:lang w:eastAsia="es-PE"/>
        </w:rPr>
      </w:pPr>
      <w:r w:rsidRPr="00990CB0">
        <w:rPr>
          <w:rFonts w:ascii="Arial" w:eastAsia="Times New Roman" w:hAnsi="Arial" w:cs="Arial"/>
          <w:bCs/>
          <w:sz w:val="20"/>
          <w:szCs w:val="20"/>
          <w:lang w:eastAsia="es-PE"/>
        </w:rPr>
        <w:t>Con la finalidad de fortalecer la trazabilidad del oro, es de suma importancia registrar a los compradores de oro, en tal sentido mediante la presente norma se establece con carácter obligatorio que las Joyerías que compran oro deberán inscribirse en el RECPO</w:t>
      </w:r>
      <w:r w:rsidR="00892D4A" w:rsidRPr="00990CB0">
        <w:rPr>
          <w:rFonts w:ascii="Arial" w:eastAsia="Times New Roman" w:hAnsi="Arial" w:cs="Arial"/>
          <w:bCs/>
          <w:sz w:val="20"/>
          <w:szCs w:val="20"/>
          <w:lang w:eastAsia="es-PE"/>
        </w:rPr>
        <w:t xml:space="preserve">. </w:t>
      </w:r>
      <w:r w:rsidRPr="00990CB0">
        <w:rPr>
          <w:rFonts w:ascii="Arial" w:eastAsia="Times New Roman" w:hAnsi="Arial" w:cs="Arial"/>
          <w:bCs/>
          <w:sz w:val="20"/>
          <w:szCs w:val="20"/>
          <w:lang w:eastAsia="es-PE"/>
        </w:rPr>
        <w:t>De conformidad con la norma, las Joyerías que compran y venden oro tienen un plazo de 90 días calendario para inscribirse en el RECPO, con la finalidad que durante este plazo se socialice tal obligación y las Joyerías del país cuenten con su respectiva inscripción</w:t>
      </w:r>
      <w:r w:rsidR="00892D4A" w:rsidRPr="00990CB0">
        <w:rPr>
          <w:rFonts w:ascii="Arial" w:eastAsia="Times New Roman" w:hAnsi="Arial" w:cs="Arial"/>
          <w:bCs/>
          <w:sz w:val="20"/>
          <w:szCs w:val="20"/>
          <w:lang w:eastAsia="es-PE"/>
        </w:rPr>
        <w:t>.</w:t>
      </w:r>
    </w:p>
    <w:p w14:paraId="74662012" w14:textId="77777777" w:rsidR="00E30CED" w:rsidRPr="00990CB0" w:rsidRDefault="00E30CED" w:rsidP="00E612C3">
      <w:pPr>
        <w:spacing w:after="0" w:line="240" w:lineRule="auto"/>
        <w:ind w:left="426"/>
        <w:outlineLvl w:val="0"/>
        <w:rPr>
          <w:rFonts w:ascii="Arial" w:eastAsia="Times New Roman" w:hAnsi="Arial" w:cs="Arial"/>
          <w:bCs/>
          <w:sz w:val="20"/>
          <w:szCs w:val="20"/>
          <w:lang w:eastAsia="es-PE"/>
        </w:rPr>
      </w:pPr>
    </w:p>
    <w:bookmarkEnd w:id="8"/>
    <w:p w14:paraId="0CE958F7" w14:textId="77777777" w:rsidR="004F1A8C" w:rsidRPr="00990CB0" w:rsidRDefault="004F1A8C" w:rsidP="00E612C3">
      <w:pPr>
        <w:ind w:firstLine="426"/>
        <w:jc w:val="both"/>
        <w:rPr>
          <w:rFonts w:ascii="Arial" w:hAnsi="Arial" w:cs="Arial"/>
          <w:bCs/>
          <w:i/>
          <w:sz w:val="20"/>
          <w:szCs w:val="20"/>
        </w:rPr>
      </w:pPr>
      <w:r w:rsidRPr="00990CB0">
        <w:rPr>
          <w:rFonts w:ascii="Arial" w:hAnsi="Arial" w:cs="Arial"/>
          <w:bCs/>
          <w:i/>
          <w:sz w:val="20"/>
          <w:szCs w:val="20"/>
        </w:rPr>
        <w:t xml:space="preserve">Disposiciones complementarias modificatorias </w:t>
      </w:r>
    </w:p>
    <w:p w14:paraId="6F06AA1C" w14:textId="0D42ADB9" w:rsidR="004F1A8C" w:rsidRPr="00990CB0" w:rsidRDefault="004F1A8C" w:rsidP="00661346">
      <w:pPr>
        <w:pStyle w:val="Prrafodelista"/>
        <w:spacing w:after="0" w:line="240" w:lineRule="auto"/>
        <w:ind w:left="425"/>
        <w:jc w:val="both"/>
        <w:rPr>
          <w:rFonts w:ascii="Arial" w:hAnsi="Arial" w:cs="Arial"/>
          <w:bCs/>
          <w:sz w:val="20"/>
          <w:szCs w:val="20"/>
        </w:rPr>
      </w:pPr>
      <w:r w:rsidRPr="00990CB0">
        <w:rPr>
          <w:rFonts w:ascii="Arial" w:hAnsi="Arial" w:cs="Arial"/>
          <w:bCs/>
          <w:sz w:val="20"/>
          <w:szCs w:val="20"/>
        </w:rPr>
        <w:t>Por último, a fin de logar la congruencia entre la norma con las disposiciones sobre comercialización establecidas en el Decreto Supremo N° 012-2012-EM, se propone la modificación de los artículo</w:t>
      </w:r>
      <w:r w:rsidR="00D912D4" w:rsidRPr="00990CB0">
        <w:rPr>
          <w:rFonts w:ascii="Arial" w:hAnsi="Arial" w:cs="Arial"/>
          <w:bCs/>
          <w:sz w:val="20"/>
          <w:szCs w:val="20"/>
        </w:rPr>
        <w:t>s</w:t>
      </w:r>
      <w:r w:rsidRPr="00990CB0">
        <w:rPr>
          <w:rFonts w:ascii="Arial" w:hAnsi="Arial" w:cs="Arial"/>
          <w:bCs/>
          <w:sz w:val="20"/>
          <w:szCs w:val="20"/>
        </w:rPr>
        <w:t xml:space="preserve"> 5 y 7</w:t>
      </w:r>
      <w:r w:rsidR="001F13A5" w:rsidRPr="00990CB0">
        <w:rPr>
          <w:rFonts w:ascii="Arial" w:hAnsi="Arial" w:cs="Arial"/>
          <w:bCs/>
          <w:sz w:val="20"/>
          <w:szCs w:val="20"/>
        </w:rPr>
        <w:t xml:space="preserve"> del mencionado decreto supremo, precisando la </w:t>
      </w:r>
      <w:r w:rsidR="001F13A5" w:rsidRPr="00990CB0">
        <w:rPr>
          <w:rFonts w:ascii="Arial" w:hAnsi="Arial" w:cs="Arial"/>
          <w:bCs/>
          <w:sz w:val="20"/>
          <w:szCs w:val="20"/>
        </w:rPr>
        <w:lastRenderedPageBreak/>
        <w:t xml:space="preserve">necesidad de reportar en línea las operaciones de adquisición del oro y el carácter de obligatoriedad que tiene el RECPO respecto de aquellas personas que compren oro, respectivamente. </w:t>
      </w:r>
    </w:p>
    <w:p w14:paraId="6DB8DEB8" w14:textId="77777777" w:rsidR="004F1A8C" w:rsidRPr="00990CB0" w:rsidRDefault="004F1A8C" w:rsidP="004F1A8C">
      <w:pPr>
        <w:pStyle w:val="Prrafodelista"/>
        <w:spacing w:after="0" w:line="240" w:lineRule="auto"/>
        <w:ind w:left="426"/>
        <w:jc w:val="both"/>
        <w:rPr>
          <w:rFonts w:ascii="Arial" w:hAnsi="Arial" w:cs="Arial"/>
          <w:bCs/>
          <w:sz w:val="20"/>
          <w:szCs w:val="20"/>
        </w:rPr>
      </w:pPr>
    </w:p>
    <w:p w14:paraId="68451E12" w14:textId="77777777" w:rsidR="00D17770" w:rsidRPr="00990CB0" w:rsidRDefault="00D17770" w:rsidP="00E74CA5">
      <w:pPr>
        <w:pStyle w:val="Prrafodelista"/>
        <w:numPr>
          <w:ilvl w:val="0"/>
          <w:numId w:val="1"/>
        </w:numPr>
        <w:spacing w:after="0" w:line="240" w:lineRule="auto"/>
        <w:ind w:left="426" w:hanging="426"/>
        <w:jc w:val="both"/>
        <w:rPr>
          <w:rFonts w:ascii="Arial" w:hAnsi="Arial" w:cs="Arial"/>
          <w:b/>
          <w:bCs/>
          <w:sz w:val="20"/>
          <w:szCs w:val="20"/>
        </w:rPr>
      </w:pPr>
      <w:r w:rsidRPr="00990CB0">
        <w:rPr>
          <w:rFonts w:ascii="Arial" w:hAnsi="Arial" w:cs="Arial"/>
          <w:b/>
          <w:bCs/>
          <w:sz w:val="20"/>
          <w:szCs w:val="20"/>
        </w:rPr>
        <w:t xml:space="preserve">COSTO-BENEFICIO </w:t>
      </w:r>
    </w:p>
    <w:p w14:paraId="3E9F81AA" w14:textId="77777777" w:rsidR="00C546C9" w:rsidRPr="00990CB0" w:rsidRDefault="00C546C9" w:rsidP="00E74CA5">
      <w:pPr>
        <w:autoSpaceDE w:val="0"/>
        <w:autoSpaceDN w:val="0"/>
        <w:adjustRightInd w:val="0"/>
        <w:spacing w:after="0" w:line="240" w:lineRule="auto"/>
        <w:ind w:left="426"/>
        <w:jc w:val="both"/>
        <w:rPr>
          <w:rFonts w:ascii="Arial" w:hAnsi="Arial" w:cs="Arial"/>
          <w:sz w:val="20"/>
          <w:szCs w:val="20"/>
        </w:rPr>
      </w:pPr>
    </w:p>
    <w:p w14:paraId="083E2A88" w14:textId="77777777" w:rsidR="00D17770" w:rsidRPr="00990CB0" w:rsidRDefault="00D17770" w:rsidP="00E74CA5">
      <w:pPr>
        <w:autoSpaceDE w:val="0"/>
        <w:autoSpaceDN w:val="0"/>
        <w:adjustRightInd w:val="0"/>
        <w:spacing w:after="0" w:line="240" w:lineRule="auto"/>
        <w:ind w:left="426"/>
        <w:jc w:val="both"/>
        <w:rPr>
          <w:rFonts w:ascii="Arial" w:hAnsi="Arial" w:cs="Arial"/>
          <w:sz w:val="20"/>
          <w:szCs w:val="20"/>
        </w:rPr>
      </w:pPr>
      <w:r w:rsidRPr="00990CB0">
        <w:rPr>
          <w:rFonts w:ascii="Arial" w:hAnsi="Arial" w:cs="Arial"/>
          <w:sz w:val="20"/>
          <w:szCs w:val="20"/>
        </w:rPr>
        <w:t>La implementación de lo dispuesto en el presente Decreto Supremo se financia con cargo al presupuesto institucional del Ministerio de Energía y Minas, sin demandar recursos adicionales al Tesoro Público.</w:t>
      </w:r>
    </w:p>
    <w:p w14:paraId="53F259BA" w14:textId="77777777" w:rsidR="00C546C9" w:rsidRPr="00990CB0" w:rsidRDefault="00C546C9" w:rsidP="00E74CA5">
      <w:pPr>
        <w:autoSpaceDE w:val="0"/>
        <w:autoSpaceDN w:val="0"/>
        <w:adjustRightInd w:val="0"/>
        <w:spacing w:after="0" w:line="240" w:lineRule="auto"/>
        <w:ind w:left="426"/>
        <w:jc w:val="both"/>
        <w:rPr>
          <w:rFonts w:ascii="Arial" w:hAnsi="Arial" w:cs="Arial"/>
          <w:sz w:val="20"/>
          <w:szCs w:val="20"/>
        </w:rPr>
      </w:pPr>
    </w:p>
    <w:p w14:paraId="136928DD" w14:textId="77777777" w:rsidR="008A56E5" w:rsidRPr="00990CB0" w:rsidRDefault="00D17770" w:rsidP="00E74CA5">
      <w:pPr>
        <w:pStyle w:val="Default"/>
        <w:ind w:left="426"/>
        <w:jc w:val="both"/>
        <w:rPr>
          <w:rFonts w:ascii="Arial" w:hAnsi="Arial" w:cs="Arial"/>
          <w:color w:val="auto"/>
          <w:sz w:val="20"/>
          <w:szCs w:val="20"/>
        </w:rPr>
      </w:pPr>
      <w:r w:rsidRPr="00990CB0">
        <w:rPr>
          <w:rFonts w:ascii="Arial" w:hAnsi="Arial" w:cs="Arial"/>
          <w:color w:val="auto"/>
          <w:sz w:val="20"/>
          <w:szCs w:val="20"/>
        </w:rPr>
        <w:t xml:space="preserve">Los costos que pueda ocasionar el presente Decreto Supremo al tesoro público se verán </w:t>
      </w:r>
      <w:r w:rsidR="00B20D32" w:rsidRPr="00990CB0">
        <w:rPr>
          <w:rFonts w:ascii="Arial" w:hAnsi="Arial" w:cs="Arial"/>
          <w:color w:val="auto"/>
          <w:sz w:val="20"/>
          <w:szCs w:val="20"/>
        </w:rPr>
        <w:t xml:space="preserve">en gran manera </w:t>
      </w:r>
      <w:r w:rsidRPr="00990CB0">
        <w:rPr>
          <w:rFonts w:ascii="Arial" w:hAnsi="Arial" w:cs="Arial"/>
          <w:color w:val="auto"/>
          <w:sz w:val="20"/>
          <w:szCs w:val="20"/>
        </w:rPr>
        <w:t xml:space="preserve">compensados con el incremento de la recaudación que se generará por el ingreso a la formalidad de </w:t>
      </w:r>
      <w:r w:rsidR="00B20D32" w:rsidRPr="00990CB0">
        <w:rPr>
          <w:rFonts w:ascii="Arial" w:hAnsi="Arial" w:cs="Arial"/>
          <w:color w:val="auto"/>
          <w:sz w:val="20"/>
          <w:szCs w:val="20"/>
        </w:rPr>
        <w:t xml:space="preserve">personas naturales y jurídicas que </w:t>
      </w:r>
      <w:r w:rsidRPr="00990CB0">
        <w:rPr>
          <w:rFonts w:ascii="Arial" w:hAnsi="Arial" w:cs="Arial"/>
          <w:color w:val="auto"/>
          <w:sz w:val="20"/>
          <w:szCs w:val="20"/>
        </w:rPr>
        <w:t>cumplirán</w:t>
      </w:r>
      <w:r w:rsidR="00B20D32" w:rsidRPr="00990CB0">
        <w:rPr>
          <w:rFonts w:ascii="Arial" w:hAnsi="Arial" w:cs="Arial"/>
          <w:color w:val="auto"/>
          <w:sz w:val="20"/>
          <w:szCs w:val="20"/>
        </w:rPr>
        <w:t xml:space="preserve"> </w:t>
      </w:r>
      <w:r w:rsidRPr="00990CB0">
        <w:rPr>
          <w:rFonts w:ascii="Arial" w:hAnsi="Arial" w:cs="Arial"/>
          <w:color w:val="auto"/>
          <w:sz w:val="20"/>
          <w:szCs w:val="20"/>
        </w:rPr>
        <w:t>con sus obligaciones tributarias.</w:t>
      </w:r>
      <w:r w:rsidR="00C927D7" w:rsidRPr="00990CB0">
        <w:rPr>
          <w:rFonts w:ascii="Arial" w:hAnsi="Arial" w:cs="Arial"/>
          <w:color w:val="auto"/>
          <w:sz w:val="20"/>
          <w:szCs w:val="20"/>
        </w:rPr>
        <w:t xml:space="preserve"> </w:t>
      </w:r>
    </w:p>
    <w:p w14:paraId="4451562A" w14:textId="77777777" w:rsidR="00C546C9" w:rsidRPr="00990CB0" w:rsidRDefault="00C546C9" w:rsidP="00C546C9">
      <w:pPr>
        <w:pStyle w:val="Prrafodelista"/>
        <w:spacing w:after="0" w:line="240" w:lineRule="auto"/>
        <w:ind w:left="426"/>
        <w:jc w:val="both"/>
        <w:rPr>
          <w:rFonts w:ascii="Arial" w:hAnsi="Arial" w:cs="Arial"/>
          <w:bCs/>
          <w:sz w:val="20"/>
          <w:szCs w:val="20"/>
        </w:rPr>
      </w:pPr>
    </w:p>
    <w:p w14:paraId="7F6365B7" w14:textId="77777777" w:rsidR="00D17770" w:rsidRPr="00990CB0" w:rsidRDefault="00D17770" w:rsidP="00E74CA5">
      <w:pPr>
        <w:pStyle w:val="Prrafodelista"/>
        <w:numPr>
          <w:ilvl w:val="0"/>
          <w:numId w:val="1"/>
        </w:numPr>
        <w:spacing w:after="0" w:line="240" w:lineRule="auto"/>
        <w:ind w:left="426" w:hanging="426"/>
        <w:jc w:val="both"/>
        <w:rPr>
          <w:rFonts w:ascii="Arial" w:hAnsi="Arial" w:cs="Arial"/>
          <w:b/>
          <w:bCs/>
          <w:sz w:val="20"/>
          <w:szCs w:val="20"/>
        </w:rPr>
      </w:pPr>
      <w:r w:rsidRPr="00990CB0">
        <w:rPr>
          <w:rFonts w:ascii="Arial" w:hAnsi="Arial" w:cs="Arial"/>
          <w:b/>
          <w:bCs/>
          <w:sz w:val="20"/>
          <w:szCs w:val="20"/>
        </w:rPr>
        <w:t xml:space="preserve">IMPACTO EN LA LEGISLACIÓN VIGENTE </w:t>
      </w:r>
    </w:p>
    <w:p w14:paraId="2342233B" w14:textId="77777777" w:rsidR="00D17770" w:rsidRPr="00990CB0" w:rsidRDefault="00C927D7" w:rsidP="00E74CA5">
      <w:pPr>
        <w:pStyle w:val="Prrafodelista"/>
        <w:spacing w:after="0" w:line="240" w:lineRule="auto"/>
        <w:jc w:val="both"/>
        <w:rPr>
          <w:rFonts w:ascii="Arial" w:hAnsi="Arial" w:cs="Arial"/>
          <w:sz w:val="20"/>
          <w:szCs w:val="20"/>
        </w:rPr>
      </w:pPr>
      <w:r w:rsidRPr="00990CB0">
        <w:rPr>
          <w:rFonts w:ascii="Arial" w:hAnsi="Arial" w:cs="Arial"/>
          <w:sz w:val="20"/>
          <w:szCs w:val="20"/>
        </w:rPr>
        <w:t xml:space="preserve"> </w:t>
      </w:r>
    </w:p>
    <w:p w14:paraId="3B4E4AC0" w14:textId="77777777" w:rsidR="00D17770" w:rsidRPr="00990CB0" w:rsidRDefault="00D17770" w:rsidP="00E74CA5">
      <w:pPr>
        <w:pStyle w:val="Prrafodelista"/>
        <w:spacing w:after="0" w:line="240" w:lineRule="auto"/>
        <w:ind w:left="426"/>
        <w:jc w:val="both"/>
        <w:rPr>
          <w:rFonts w:ascii="Arial" w:hAnsi="Arial" w:cs="Arial"/>
          <w:sz w:val="20"/>
          <w:szCs w:val="20"/>
        </w:rPr>
      </w:pPr>
      <w:r w:rsidRPr="00990CB0">
        <w:rPr>
          <w:rFonts w:ascii="Arial" w:hAnsi="Arial" w:cs="Arial"/>
          <w:sz w:val="20"/>
          <w:szCs w:val="20"/>
        </w:rPr>
        <w:t>El presente proyecto cumple lo dispuesto en la Sétima Disposición Complementaria Final del Decreto Legislativo Nº 1105, mediante la cual se establece que el Poder Ejecutivo, con el fin de promover la formalización de los Pequeños Productores Mineros y Productores Mineros Artesanales, podrá, mediante Decreto Supremo refrendado por los Ministros de Economía y Finanzas y de Energía y Minas, emitir las normas complementarias referidas a la comercialización del oro proveniente</w:t>
      </w:r>
      <w:r w:rsidR="00F93AE3" w:rsidRPr="00990CB0">
        <w:rPr>
          <w:rFonts w:ascii="Arial" w:hAnsi="Arial" w:cs="Arial"/>
          <w:sz w:val="20"/>
          <w:szCs w:val="20"/>
        </w:rPr>
        <w:t xml:space="preserve"> de la actividad minera de los p</w:t>
      </w:r>
      <w:r w:rsidRPr="00990CB0">
        <w:rPr>
          <w:rFonts w:ascii="Arial" w:hAnsi="Arial" w:cs="Arial"/>
          <w:sz w:val="20"/>
          <w:szCs w:val="20"/>
        </w:rPr>
        <w:t>roductores anteriormente mencionados. No presentándose incompatibilidades entre la norma propuesta y otras disposiciones legales contenidas en el ordenamiento jurídico nacional.</w:t>
      </w:r>
    </w:p>
    <w:p w14:paraId="45968A0E" w14:textId="77777777" w:rsidR="00312BFF" w:rsidRPr="00990CB0" w:rsidRDefault="00312BFF" w:rsidP="00E74CA5">
      <w:pPr>
        <w:pStyle w:val="Prrafodelista"/>
        <w:spacing w:after="0" w:line="240" w:lineRule="auto"/>
        <w:ind w:left="426"/>
        <w:jc w:val="both"/>
        <w:rPr>
          <w:rFonts w:ascii="Arial" w:hAnsi="Arial" w:cs="Arial"/>
          <w:sz w:val="20"/>
          <w:szCs w:val="20"/>
        </w:rPr>
      </w:pPr>
    </w:p>
    <w:sectPr w:rsidR="00312BFF" w:rsidRPr="00990CB0">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C563" w14:textId="77777777" w:rsidR="00AE5128" w:rsidRDefault="00AE5128" w:rsidP="003179D2">
      <w:pPr>
        <w:spacing w:after="0" w:line="240" w:lineRule="auto"/>
      </w:pPr>
      <w:r>
        <w:separator/>
      </w:r>
    </w:p>
  </w:endnote>
  <w:endnote w:type="continuationSeparator" w:id="0">
    <w:p w14:paraId="41322ABF" w14:textId="77777777" w:rsidR="00AE5128" w:rsidRDefault="00AE5128" w:rsidP="0031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5D7" w14:textId="77777777" w:rsidR="00042F5C" w:rsidRDefault="00042F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2CB4" w14:textId="77777777" w:rsidR="00042F5C" w:rsidRDefault="00042F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3F62" w14:textId="77777777" w:rsidR="00042F5C" w:rsidRDefault="00042F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9A28" w14:textId="77777777" w:rsidR="00AE5128" w:rsidRDefault="00AE5128" w:rsidP="003179D2">
      <w:pPr>
        <w:spacing w:after="0" w:line="240" w:lineRule="auto"/>
      </w:pPr>
      <w:r>
        <w:separator/>
      </w:r>
    </w:p>
  </w:footnote>
  <w:footnote w:type="continuationSeparator" w:id="0">
    <w:p w14:paraId="35D485E9" w14:textId="77777777" w:rsidR="00AE5128" w:rsidRDefault="00AE5128" w:rsidP="003179D2">
      <w:pPr>
        <w:spacing w:after="0" w:line="240" w:lineRule="auto"/>
      </w:pPr>
      <w:r>
        <w:continuationSeparator/>
      </w:r>
    </w:p>
  </w:footnote>
  <w:footnote w:id="1">
    <w:p w14:paraId="192DC241" w14:textId="77777777" w:rsidR="00C815D6" w:rsidRPr="005A3237" w:rsidRDefault="00C815D6" w:rsidP="00237506">
      <w:pPr>
        <w:pStyle w:val="Textonotapie"/>
        <w:jc w:val="both"/>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 xml:space="preserve"> Ver “REGLAMENTO (UE) 2017/821 DEL PARLAMENTO EUROPEO Y DEL CONSEJO de 17 de mayo de 2017 por el que se establecen obligaciones en materia de diligencia debida en la cadena de suministro por lo que respecta a los importadores de la Unión de estaño, tantalio y wolframio, sus minerales y oro originarios de zonas de conflicto o de alto riesgo” </w:t>
      </w:r>
    </w:p>
  </w:footnote>
  <w:footnote w:id="2">
    <w:p w14:paraId="0B81E8FF" w14:textId="77777777" w:rsidR="00C815D6" w:rsidRPr="005A3237" w:rsidRDefault="00C815D6" w:rsidP="00237506">
      <w:pPr>
        <w:pStyle w:val="Textonotapie"/>
        <w:jc w:val="both"/>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 xml:space="preserve"> Cabe resaltar los esfuerzos y liderazgo de la Unión Europea por implementar un marco regulatorio que asegure cadenas de suministro socialmente responsables, siendo el Reglamento (ue) 2017/821 del Parlamento Europeo y del Consejo de la Unión Europea una de las iniciativas internacionales más ambiciosas para establecer obligaciones en materia de diligencia debida en la cadena de suministro de minerales. </w:t>
      </w:r>
    </w:p>
  </w:footnote>
  <w:footnote w:id="3">
    <w:p w14:paraId="11D426A7" w14:textId="77777777" w:rsidR="00C815D6" w:rsidRPr="005A3237" w:rsidRDefault="00C815D6" w:rsidP="00237506">
      <w:pPr>
        <w:pStyle w:val="Textonotapie"/>
        <w:jc w:val="both"/>
        <w:rPr>
          <w:rFonts w:ascii="Arial" w:hAnsi="Arial" w:cs="Arial"/>
          <w:sz w:val="16"/>
          <w:szCs w:val="16"/>
          <w:lang w:val="es-ES"/>
        </w:rPr>
      </w:pPr>
      <w:r w:rsidRPr="005A3237">
        <w:rPr>
          <w:rStyle w:val="Refdenotaalpie"/>
          <w:rFonts w:ascii="Arial" w:hAnsi="Arial" w:cs="Arial"/>
          <w:sz w:val="16"/>
          <w:szCs w:val="16"/>
        </w:rPr>
        <w:footnoteRef/>
      </w:r>
      <w:r w:rsidRPr="005A3237">
        <w:rPr>
          <w:rFonts w:ascii="Arial" w:hAnsi="Arial" w:cs="Arial"/>
          <w:sz w:val="16"/>
          <w:szCs w:val="16"/>
        </w:rPr>
        <w:t xml:space="preserve"> </w:t>
      </w:r>
      <w:r w:rsidRPr="005A3237">
        <w:rPr>
          <w:rFonts w:ascii="Arial" w:hAnsi="Arial" w:cs="Arial"/>
          <w:sz w:val="16"/>
          <w:szCs w:val="16"/>
          <w:lang w:val="es-ES"/>
        </w:rPr>
        <w:t xml:space="preserve">El sector forestal ha avanzado hacia la definición de “trazabilidad”, habiendo aprobado en el 2019 el documento técnico “Trazabilidad de los Recursos Forestables Maderables” (Resolución de Dirección Ejecutiva Nº 230-2019-MINAGRI-SERFOR-DE. </w:t>
      </w:r>
    </w:p>
  </w:footnote>
  <w:footnote w:id="4">
    <w:p w14:paraId="12DB87FF" w14:textId="77777777" w:rsidR="00C815D6" w:rsidRPr="005A3237" w:rsidRDefault="00C815D6" w:rsidP="00237506">
      <w:pPr>
        <w:spacing w:after="0" w:line="240" w:lineRule="auto"/>
        <w:ind w:left="360"/>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 xml:space="preserve"> Fuente: Dirección General de Formalización Minera – Ministerio de Energía y Minas </w:t>
      </w:r>
    </w:p>
  </w:footnote>
  <w:footnote w:id="5">
    <w:p w14:paraId="0AFD0560" w14:textId="77777777" w:rsidR="00C815D6" w:rsidRPr="005A3237" w:rsidRDefault="00C815D6" w:rsidP="00237506">
      <w:pPr>
        <w:pStyle w:val="Textonotapie"/>
        <w:jc w:val="both"/>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 xml:space="preserve"> Extraído del documento de trabajo denominado: Situación de la cadena de trazabilidad para la comercialización del sector de la minería artesanal y de pequeña escala, preparado por el Ministerio de Energía y Minas conjuntamente con la agencia de </w:t>
      </w:r>
      <w:r w:rsidRPr="005A3237">
        <w:rPr>
          <w:rFonts w:ascii="Arial" w:hAnsi="Arial" w:cs="Arial"/>
          <w:i/>
          <w:sz w:val="16"/>
          <w:szCs w:val="16"/>
        </w:rPr>
        <w:t>Copperación Better Gold I Iniciative-BGI</w:t>
      </w:r>
      <w:r w:rsidRPr="005A3237">
        <w:rPr>
          <w:rFonts w:ascii="Arial" w:hAnsi="Arial" w:cs="Arial"/>
          <w:sz w:val="16"/>
          <w:szCs w:val="16"/>
        </w:rPr>
        <w:t xml:space="preserve"> y expuesta en la </w:t>
      </w:r>
      <w:r w:rsidRPr="005A3237">
        <w:rPr>
          <w:rFonts w:ascii="Arial" w:hAnsi="Arial" w:cs="Arial"/>
          <w:i/>
          <w:sz w:val="16"/>
          <w:szCs w:val="16"/>
        </w:rPr>
        <w:t>“Mesa de Trabajo: Fortaleciendo la trazabilidad en la comercialización de oro: un camino hacia la consolidación de una pequeña minería y minería artesanal formal y sostenible”,</w:t>
      </w:r>
      <w:r w:rsidRPr="005A3237">
        <w:rPr>
          <w:rFonts w:ascii="Arial" w:hAnsi="Arial" w:cs="Arial"/>
          <w:sz w:val="16"/>
          <w:szCs w:val="16"/>
        </w:rPr>
        <w:t xml:space="preserve"> llevada a cabo el 12 de octubre del 2020 en Lima</w:t>
      </w:r>
    </w:p>
  </w:footnote>
  <w:footnote w:id="6">
    <w:p w14:paraId="27C3EF25" w14:textId="77777777" w:rsidR="00C815D6" w:rsidRPr="005A3237" w:rsidRDefault="00C815D6" w:rsidP="00A039F9">
      <w:pPr>
        <w:pStyle w:val="Textonotapie"/>
        <w:jc w:val="both"/>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 xml:space="preserve"> Uno de los reclamos más frecuentes de representantes del sector MAPE se refiere a las </w:t>
      </w:r>
      <w:proofErr w:type="gramStart"/>
      <w:r w:rsidRPr="005A3237">
        <w:rPr>
          <w:rFonts w:ascii="Arial" w:hAnsi="Arial" w:cs="Arial"/>
          <w:sz w:val="16"/>
          <w:szCs w:val="16"/>
        </w:rPr>
        <w:t>detenciones  e</w:t>
      </w:r>
      <w:proofErr w:type="gramEnd"/>
      <w:r w:rsidRPr="005A3237">
        <w:rPr>
          <w:rFonts w:ascii="Arial" w:hAnsi="Arial" w:cs="Arial"/>
          <w:sz w:val="16"/>
          <w:szCs w:val="16"/>
        </w:rPr>
        <w:t xml:space="preserve"> incautación y decomiso arbitrario de su mineral, el desconocimiento de los agentes de control de la legislación minera y la poca coordinación o comunicación entre autoridades sectoriales (MINEM) y los agentes de control para unificar criterios de control. </w:t>
      </w:r>
    </w:p>
  </w:footnote>
  <w:footnote w:id="7">
    <w:p w14:paraId="22BA2BEB" w14:textId="77777777" w:rsidR="00C815D6" w:rsidRPr="005A3237" w:rsidRDefault="00C815D6" w:rsidP="00A039F9">
      <w:pPr>
        <w:pStyle w:val="Textonotapie"/>
        <w:jc w:val="both"/>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Valdés, Ricardo, Basombrio, Carlos y Dante Vera (2019). Minería no formal en el Perú, realidades, tendencias y ¿soluciones? Konrad Adenauer Stiftung.</w:t>
      </w:r>
    </w:p>
  </w:footnote>
  <w:footnote w:id="8">
    <w:p w14:paraId="5B33A92A" w14:textId="77777777" w:rsidR="00C815D6" w:rsidRPr="005A3237" w:rsidRDefault="00C815D6" w:rsidP="00A039F9">
      <w:pPr>
        <w:pStyle w:val="Textonotapie"/>
        <w:jc w:val="both"/>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 xml:space="preserve"> Sociedad Peruana de Derecho Ambiental, ‘La realidad de la minería ilegal en países amazónicos´ (Lima: SPDA, 2014).</w:t>
      </w:r>
    </w:p>
  </w:footnote>
  <w:footnote w:id="9">
    <w:p w14:paraId="67EDA572" w14:textId="4163BF37" w:rsidR="00C815D6" w:rsidRPr="005A3237" w:rsidRDefault="00C815D6" w:rsidP="00A039F9">
      <w:pPr>
        <w:spacing w:after="0" w:line="240" w:lineRule="auto"/>
        <w:jc w:val="both"/>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 xml:space="preserve"> Torres, Víctor (2013). ‘La economía ilegal del oro en el Perú: Impacto socioeconómico’, Pensamiento Crítico 19 (2</w:t>
      </w:r>
      <w:proofErr w:type="gramStart"/>
      <w:r w:rsidRPr="005A3237">
        <w:rPr>
          <w:rFonts w:ascii="Arial" w:hAnsi="Arial" w:cs="Arial"/>
          <w:sz w:val="16"/>
          <w:szCs w:val="16"/>
        </w:rPr>
        <w:t>) ,</w:t>
      </w:r>
      <w:proofErr w:type="gramEnd"/>
      <w:r w:rsidRPr="005A3237">
        <w:rPr>
          <w:rFonts w:ascii="Arial" w:hAnsi="Arial" w:cs="Arial"/>
          <w:sz w:val="16"/>
          <w:szCs w:val="16"/>
        </w:rPr>
        <w:t xml:space="preserve"> pp. 177-219.</w:t>
      </w:r>
    </w:p>
  </w:footnote>
  <w:footnote w:id="10">
    <w:p w14:paraId="22F0E38D" w14:textId="5FDF24B8" w:rsidR="00DD7B37" w:rsidRPr="005A3237" w:rsidRDefault="00DD7B37" w:rsidP="00A431F5">
      <w:pPr>
        <w:pStyle w:val="Textonotapie"/>
        <w:jc w:val="both"/>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 xml:space="preserve"> Centro de Estudios sobre Minería y la Sostenibilidad </w:t>
      </w:r>
      <w:r w:rsidR="00A431F5" w:rsidRPr="005A3237">
        <w:rPr>
          <w:rFonts w:ascii="Arial" w:hAnsi="Arial" w:cs="Arial"/>
          <w:sz w:val="16"/>
          <w:szCs w:val="16"/>
        </w:rPr>
        <w:t xml:space="preserve">de la </w:t>
      </w:r>
      <w:r w:rsidRPr="005A3237">
        <w:rPr>
          <w:rFonts w:ascii="Arial" w:hAnsi="Arial" w:cs="Arial"/>
          <w:sz w:val="16"/>
          <w:szCs w:val="16"/>
        </w:rPr>
        <w:t>Universidad del Pacífico</w:t>
      </w:r>
      <w:r w:rsidR="00A431F5" w:rsidRPr="005A3237">
        <w:rPr>
          <w:rFonts w:ascii="Arial" w:hAnsi="Arial" w:cs="Arial"/>
          <w:sz w:val="16"/>
          <w:szCs w:val="16"/>
        </w:rPr>
        <w:t xml:space="preserve">. Cadena de valor del oro proveniente de la minería artesanal y la pequeña escala de madre de dios: diagnóstico, oportunidades, propuestas Informe final (2020) </w:t>
      </w:r>
      <w:r w:rsidRPr="005A3237">
        <w:rPr>
          <w:rFonts w:ascii="Arial" w:hAnsi="Arial" w:cs="Arial"/>
          <w:sz w:val="16"/>
          <w:szCs w:val="16"/>
        </w:rPr>
        <w:t xml:space="preserve"> </w:t>
      </w:r>
    </w:p>
  </w:footnote>
  <w:footnote w:id="11">
    <w:p w14:paraId="537DA2BB" w14:textId="77777777" w:rsidR="00661346" w:rsidRPr="005A3237" w:rsidRDefault="00661346" w:rsidP="00661346">
      <w:pPr>
        <w:spacing w:after="0" w:line="240" w:lineRule="auto"/>
        <w:jc w:val="both"/>
        <w:rPr>
          <w:rFonts w:ascii="Arial" w:hAnsi="Arial" w:cs="Arial"/>
          <w:sz w:val="16"/>
          <w:szCs w:val="16"/>
        </w:rPr>
      </w:pPr>
      <w:r w:rsidRPr="005A3237">
        <w:rPr>
          <w:rStyle w:val="Refdenotaalpie"/>
          <w:rFonts w:ascii="Arial" w:hAnsi="Arial" w:cs="Arial"/>
          <w:sz w:val="16"/>
          <w:szCs w:val="16"/>
        </w:rPr>
        <w:footnoteRef/>
      </w:r>
      <w:r w:rsidRPr="005A3237">
        <w:rPr>
          <w:rFonts w:ascii="Arial" w:hAnsi="Arial" w:cs="Arial"/>
          <w:sz w:val="16"/>
          <w:szCs w:val="16"/>
        </w:rPr>
        <w:t xml:space="preserve"> De acuerdo a la Resolución del Tribunal Fiscal </w:t>
      </w:r>
      <w:proofErr w:type="spellStart"/>
      <w:r w:rsidRPr="005A3237">
        <w:rPr>
          <w:rFonts w:ascii="Arial" w:hAnsi="Arial" w:cs="Arial"/>
          <w:sz w:val="16"/>
          <w:szCs w:val="16"/>
        </w:rPr>
        <w:t>N°</w:t>
      </w:r>
      <w:proofErr w:type="spellEnd"/>
      <w:r w:rsidRPr="005A3237">
        <w:rPr>
          <w:rFonts w:ascii="Arial" w:hAnsi="Arial" w:cs="Arial"/>
          <w:sz w:val="16"/>
          <w:szCs w:val="16"/>
        </w:rPr>
        <w:t xml:space="preserve"> 03294-2-2002: </w:t>
      </w:r>
    </w:p>
    <w:p w14:paraId="15D8BFEB" w14:textId="77777777" w:rsidR="00661346" w:rsidRPr="005A3237" w:rsidRDefault="00661346" w:rsidP="00661346">
      <w:pPr>
        <w:spacing w:after="0" w:line="240" w:lineRule="auto"/>
        <w:jc w:val="both"/>
        <w:rPr>
          <w:rFonts w:ascii="Arial" w:eastAsia="Times New Roman" w:hAnsi="Arial" w:cs="Arial"/>
          <w:i/>
          <w:color w:val="000000"/>
          <w:sz w:val="16"/>
          <w:szCs w:val="16"/>
          <w:shd w:val="clear" w:color="auto" w:fill="FFFFFF"/>
          <w:lang w:eastAsia="es-PE"/>
        </w:rPr>
      </w:pPr>
      <w:r w:rsidRPr="005A3237">
        <w:rPr>
          <w:rFonts w:ascii="Arial" w:hAnsi="Arial" w:cs="Arial"/>
          <w:i/>
          <w:sz w:val="16"/>
          <w:szCs w:val="16"/>
        </w:rPr>
        <w:t>“</w:t>
      </w:r>
      <w:r w:rsidRPr="005A3237">
        <w:rPr>
          <w:rFonts w:ascii="Arial" w:eastAsia="Times New Roman" w:hAnsi="Arial" w:cs="Arial"/>
          <w:i/>
          <w:color w:val="000000"/>
          <w:sz w:val="16"/>
          <w:szCs w:val="16"/>
          <w:shd w:val="clear" w:color="auto" w:fill="FFFFFF"/>
          <w:lang w:eastAsia="es-PE"/>
        </w:rPr>
        <w:t xml:space="preserve">e) Se identificó tres tipos de comportamientos irregulares en las empresas participantes en las cadenas de comercialización de oro (proveedores de los distintos niveles), </w:t>
      </w:r>
      <w:proofErr w:type="spellStart"/>
      <w:r w:rsidRPr="005A3237">
        <w:rPr>
          <w:rFonts w:ascii="Arial" w:eastAsia="Times New Roman" w:hAnsi="Arial" w:cs="Arial"/>
          <w:i/>
          <w:color w:val="000000"/>
          <w:sz w:val="16"/>
          <w:szCs w:val="16"/>
          <w:shd w:val="clear" w:color="auto" w:fill="FFFFFF"/>
          <w:lang w:eastAsia="es-PE"/>
        </w:rPr>
        <w:t>aún</w:t>
      </w:r>
      <w:proofErr w:type="spellEnd"/>
      <w:r w:rsidRPr="005A3237">
        <w:rPr>
          <w:rFonts w:ascii="Arial" w:eastAsia="Times New Roman" w:hAnsi="Arial" w:cs="Arial"/>
          <w:i/>
          <w:color w:val="000000"/>
          <w:sz w:val="16"/>
          <w:szCs w:val="16"/>
          <w:shd w:val="clear" w:color="auto" w:fill="FFFFFF"/>
          <w:lang w:eastAsia="es-PE"/>
        </w:rPr>
        <w:t xml:space="preserve"> cuando entre algunas de estas cadenas no existió nexo de comunicación:</w:t>
      </w:r>
    </w:p>
    <w:p w14:paraId="374767FF" w14:textId="77777777" w:rsidR="00661346" w:rsidRPr="005A3237" w:rsidRDefault="00661346" w:rsidP="00661346">
      <w:pPr>
        <w:spacing w:after="0" w:line="240" w:lineRule="auto"/>
        <w:jc w:val="both"/>
        <w:rPr>
          <w:rFonts w:ascii="Arial" w:eastAsia="Times New Roman" w:hAnsi="Arial" w:cs="Arial"/>
          <w:i/>
          <w:color w:val="000000"/>
          <w:sz w:val="16"/>
          <w:szCs w:val="16"/>
          <w:shd w:val="clear" w:color="auto" w:fill="FFFFFF"/>
          <w:lang w:eastAsia="es-PE"/>
        </w:rPr>
      </w:pPr>
    </w:p>
    <w:p w14:paraId="496D825E" w14:textId="77777777" w:rsidR="00661346" w:rsidRPr="005A3237" w:rsidRDefault="00661346" w:rsidP="00661346">
      <w:pPr>
        <w:pStyle w:val="Prrafodelista"/>
        <w:numPr>
          <w:ilvl w:val="0"/>
          <w:numId w:val="22"/>
        </w:numPr>
        <w:spacing w:after="0" w:line="240" w:lineRule="auto"/>
        <w:jc w:val="both"/>
        <w:rPr>
          <w:rFonts w:ascii="Arial" w:eastAsia="Times New Roman" w:hAnsi="Arial" w:cs="Arial"/>
          <w:i/>
          <w:color w:val="000000"/>
          <w:sz w:val="16"/>
          <w:szCs w:val="16"/>
          <w:shd w:val="clear" w:color="auto" w:fill="FFFFFF"/>
          <w:lang w:eastAsia="es-PE"/>
        </w:rPr>
      </w:pPr>
      <w:r w:rsidRPr="005A3237">
        <w:rPr>
          <w:rFonts w:ascii="Arial" w:eastAsia="Times New Roman" w:hAnsi="Arial" w:cs="Arial"/>
          <w:i/>
          <w:color w:val="000000"/>
          <w:sz w:val="16"/>
          <w:szCs w:val="16"/>
          <w:u w:val="single"/>
          <w:shd w:val="clear" w:color="auto" w:fill="FFFFFF"/>
          <w:lang w:eastAsia="es-PE"/>
        </w:rPr>
        <w:t>Empresas limpiadoras</w:t>
      </w:r>
      <w:r w:rsidRPr="005A3237">
        <w:rPr>
          <w:rFonts w:ascii="Arial" w:eastAsia="Times New Roman" w:hAnsi="Arial" w:cs="Arial"/>
          <w:i/>
          <w:color w:val="000000"/>
          <w:sz w:val="16"/>
          <w:szCs w:val="16"/>
          <w:shd w:val="clear" w:color="auto" w:fill="FFFFFF"/>
          <w:lang w:eastAsia="es-PE"/>
        </w:rPr>
        <w:t>, destinadas a formalizar las operaciones de compra de oro de procedencia informal o de contrabando. Estas empresas se caracterizan por tener domicilio fiscal y representantes legales habidos, llevar contabilidad completa por sus respectivos registros contables, sus ventas eran cobradas con chques o transferencias bancarias y sus pagos a proveedores eran efectuados con cheque o efectivo según se alargue o no la cadena de comercialización del oro.</w:t>
      </w:r>
    </w:p>
    <w:p w14:paraId="092F3D19" w14:textId="77777777" w:rsidR="00661346" w:rsidRPr="005A3237" w:rsidRDefault="00661346" w:rsidP="00661346">
      <w:pPr>
        <w:pStyle w:val="Prrafodelista"/>
        <w:numPr>
          <w:ilvl w:val="0"/>
          <w:numId w:val="22"/>
        </w:numPr>
        <w:spacing w:after="0" w:line="240" w:lineRule="auto"/>
        <w:jc w:val="both"/>
        <w:rPr>
          <w:rFonts w:ascii="Arial" w:eastAsia="Times New Roman" w:hAnsi="Arial" w:cs="Arial"/>
          <w:i/>
          <w:color w:val="000000"/>
          <w:sz w:val="16"/>
          <w:szCs w:val="16"/>
          <w:shd w:val="clear" w:color="auto" w:fill="FFFFFF"/>
          <w:lang w:eastAsia="es-PE"/>
        </w:rPr>
      </w:pPr>
      <w:r w:rsidRPr="005A3237">
        <w:rPr>
          <w:rFonts w:ascii="Arial" w:eastAsia="Times New Roman" w:hAnsi="Arial" w:cs="Arial"/>
          <w:i/>
          <w:color w:val="000000"/>
          <w:sz w:val="16"/>
          <w:szCs w:val="16"/>
          <w:u w:val="single"/>
          <w:shd w:val="clear" w:color="auto" w:fill="FFFFFF"/>
          <w:lang w:eastAsia="es-PE"/>
        </w:rPr>
        <w:t>Empresas comisionistas y/o intermediarias</w:t>
      </w:r>
      <w:r w:rsidRPr="005A3237">
        <w:rPr>
          <w:rFonts w:ascii="Arial" w:eastAsia="Times New Roman" w:hAnsi="Arial" w:cs="Arial"/>
          <w:i/>
          <w:color w:val="000000"/>
          <w:sz w:val="16"/>
          <w:szCs w:val="16"/>
          <w:shd w:val="clear" w:color="auto" w:fill="FFFFFF"/>
          <w:lang w:eastAsia="es-PE"/>
        </w:rPr>
        <w:t>, creadas con el único fin de entregar comprobantes de pago en blanco, previamente firmado y con el sello de cancelados a cambio de un beneficio económico (comisión). El objetivo era dejar constancia de la recepción del precio de venta de una operación compra y venta de oro que realmente no había ocurrido.</w:t>
      </w:r>
    </w:p>
    <w:p w14:paraId="74479F9A" w14:textId="77777777" w:rsidR="00661346" w:rsidRPr="005A3237" w:rsidRDefault="00661346" w:rsidP="00661346">
      <w:pPr>
        <w:pStyle w:val="Prrafodelista"/>
        <w:numPr>
          <w:ilvl w:val="0"/>
          <w:numId w:val="22"/>
        </w:numPr>
        <w:spacing w:after="0" w:line="240" w:lineRule="auto"/>
        <w:jc w:val="both"/>
        <w:rPr>
          <w:rFonts w:ascii="Arial" w:eastAsia="Times New Roman" w:hAnsi="Arial" w:cs="Arial"/>
          <w:i/>
          <w:color w:val="000000"/>
          <w:sz w:val="16"/>
          <w:szCs w:val="16"/>
          <w:shd w:val="clear" w:color="auto" w:fill="FFFFFF"/>
          <w:lang w:eastAsia="es-PE"/>
        </w:rPr>
      </w:pPr>
      <w:r w:rsidRPr="005A3237">
        <w:rPr>
          <w:rFonts w:ascii="Arial" w:eastAsia="Times New Roman" w:hAnsi="Arial" w:cs="Arial"/>
          <w:i/>
          <w:color w:val="000000"/>
          <w:sz w:val="16"/>
          <w:szCs w:val="16"/>
          <w:u w:val="single"/>
          <w:shd w:val="clear" w:color="auto" w:fill="FFFFFF"/>
          <w:lang w:eastAsia="es-PE"/>
        </w:rPr>
        <w:t>Empresas fantasmas</w:t>
      </w:r>
      <w:r w:rsidRPr="005A3237">
        <w:rPr>
          <w:rFonts w:ascii="Arial" w:eastAsia="Times New Roman" w:hAnsi="Arial" w:cs="Arial"/>
          <w:i/>
          <w:color w:val="000000"/>
          <w:sz w:val="16"/>
          <w:szCs w:val="16"/>
          <w:shd w:val="clear" w:color="auto" w:fill="FFFFFF"/>
          <w:lang w:eastAsia="es-PE"/>
        </w:rPr>
        <w:t>, no tenía capacidad económica para realizar las operaciones que aparecen consignadas en las facturas que emitieron, no declararon, son no habidas, han sido creadas con documentos falsos por un solo sujeto, y no realizan operaciones.”</w:t>
      </w:r>
    </w:p>
    <w:p w14:paraId="7AC2C7A2" w14:textId="77777777" w:rsidR="00661346" w:rsidRPr="005A3237" w:rsidRDefault="00661346" w:rsidP="00661346">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E6E1" w14:textId="77777777" w:rsidR="00042F5C" w:rsidRDefault="00042F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84C4" w14:textId="68E553E7" w:rsidR="00042F5C" w:rsidRDefault="00042F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47EF" w14:textId="77777777" w:rsidR="00042F5C" w:rsidRDefault="00042F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1C5"/>
    <w:multiLevelType w:val="multilevel"/>
    <w:tmpl w:val="22F8E8C6"/>
    <w:lvl w:ilvl="0">
      <w:start w:val="1"/>
      <w:numFmt w:val="upperRoman"/>
      <w:lvlText w:val="%1."/>
      <w:lvlJc w:val="left"/>
      <w:pPr>
        <w:ind w:left="1004" w:hanging="720"/>
      </w:pPr>
      <w:rPr>
        <w:rFonts w:hint="default"/>
      </w:rPr>
    </w:lvl>
    <w:lvl w:ilvl="1">
      <w:start w:val="1"/>
      <w:numFmt w:val="decimal"/>
      <w:isLgl/>
      <w:lvlText w:val="%1.%2"/>
      <w:lvlJc w:val="left"/>
      <w:pPr>
        <w:ind w:left="668" w:hanging="3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2A23FE6"/>
    <w:multiLevelType w:val="hybridMultilevel"/>
    <w:tmpl w:val="38906B70"/>
    <w:lvl w:ilvl="0" w:tplc="5150C602">
      <w:start w:val="1"/>
      <w:numFmt w:val="bullet"/>
      <w:lvlText w:val=""/>
      <w:lvlJc w:val="left"/>
      <w:pPr>
        <w:tabs>
          <w:tab w:val="num" w:pos="786"/>
        </w:tabs>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 w15:restartNumberingAfterBreak="0">
    <w:nsid w:val="04A427CF"/>
    <w:multiLevelType w:val="hybridMultilevel"/>
    <w:tmpl w:val="1B6ED22C"/>
    <w:lvl w:ilvl="0" w:tplc="3AB0E648">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8C0DF1"/>
    <w:multiLevelType w:val="hybridMultilevel"/>
    <w:tmpl w:val="5ECAC34E"/>
    <w:lvl w:ilvl="0" w:tplc="BA72599E">
      <w:start w:val="18"/>
      <w:numFmt w:val="bullet"/>
      <w:lvlText w:val="-"/>
      <w:lvlJc w:val="left"/>
      <w:pPr>
        <w:ind w:left="360" w:hanging="360"/>
      </w:pPr>
      <w:rPr>
        <w:rFonts w:ascii="Calibri Light" w:eastAsiaTheme="minorHAnsi" w:hAnsi="Calibri Light" w:cs="Calibri Light"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AA933E3"/>
    <w:multiLevelType w:val="hybridMultilevel"/>
    <w:tmpl w:val="993C0594"/>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DC95EBE"/>
    <w:multiLevelType w:val="hybridMultilevel"/>
    <w:tmpl w:val="E8D835B4"/>
    <w:lvl w:ilvl="0" w:tplc="5150C602">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EF14CFA"/>
    <w:multiLevelType w:val="hybridMultilevel"/>
    <w:tmpl w:val="B4FEE518"/>
    <w:lvl w:ilvl="0" w:tplc="04C43542">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24E9486E"/>
    <w:multiLevelType w:val="multilevel"/>
    <w:tmpl w:val="F514C6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6148C1"/>
    <w:multiLevelType w:val="hybridMultilevel"/>
    <w:tmpl w:val="A7E6AE1C"/>
    <w:lvl w:ilvl="0" w:tplc="280A0001">
      <w:start w:val="1"/>
      <w:numFmt w:val="bullet"/>
      <w:lvlText w:val=""/>
      <w:lvlJc w:val="left"/>
      <w:pPr>
        <w:ind w:left="1364" w:hanging="360"/>
      </w:pPr>
      <w:rPr>
        <w:rFonts w:ascii="Symbol" w:hAnsi="Symbol" w:hint="default"/>
      </w:rPr>
    </w:lvl>
    <w:lvl w:ilvl="1" w:tplc="280A0003">
      <w:start w:val="1"/>
      <w:numFmt w:val="bullet"/>
      <w:lvlText w:val="o"/>
      <w:lvlJc w:val="left"/>
      <w:pPr>
        <w:ind w:left="2084" w:hanging="360"/>
      </w:pPr>
      <w:rPr>
        <w:rFonts w:ascii="Courier New" w:hAnsi="Courier New" w:cs="Courier New" w:hint="default"/>
      </w:rPr>
    </w:lvl>
    <w:lvl w:ilvl="2" w:tplc="280A0005">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9" w15:restartNumberingAfterBreak="0">
    <w:nsid w:val="3B24031E"/>
    <w:multiLevelType w:val="hybridMultilevel"/>
    <w:tmpl w:val="99EA23D0"/>
    <w:lvl w:ilvl="0" w:tplc="5150C602">
      <w:start w:val="1"/>
      <w:numFmt w:val="bullet"/>
      <w:lvlText w:val=""/>
      <w:lvlJc w:val="left"/>
      <w:pPr>
        <w:tabs>
          <w:tab w:val="num" w:pos="720"/>
        </w:tabs>
        <w:ind w:left="720" w:hanging="360"/>
      </w:pPr>
      <w:rPr>
        <w:rFonts w:ascii="Wingdings" w:hAnsi="Wingdings" w:hint="default"/>
      </w:rPr>
    </w:lvl>
    <w:lvl w:ilvl="1" w:tplc="C2DE4E94" w:tentative="1">
      <w:start w:val="1"/>
      <w:numFmt w:val="bullet"/>
      <w:lvlText w:val=""/>
      <w:lvlJc w:val="left"/>
      <w:pPr>
        <w:tabs>
          <w:tab w:val="num" w:pos="1440"/>
        </w:tabs>
        <w:ind w:left="1440" w:hanging="360"/>
      </w:pPr>
      <w:rPr>
        <w:rFonts w:ascii="Wingdings" w:hAnsi="Wingdings" w:hint="default"/>
      </w:rPr>
    </w:lvl>
    <w:lvl w:ilvl="2" w:tplc="13424C78" w:tentative="1">
      <w:start w:val="1"/>
      <w:numFmt w:val="bullet"/>
      <w:lvlText w:val=""/>
      <w:lvlJc w:val="left"/>
      <w:pPr>
        <w:tabs>
          <w:tab w:val="num" w:pos="2160"/>
        </w:tabs>
        <w:ind w:left="2160" w:hanging="360"/>
      </w:pPr>
      <w:rPr>
        <w:rFonts w:ascii="Wingdings" w:hAnsi="Wingdings" w:hint="default"/>
      </w:rPr>
    </w:lvl>
    <w:lvl w:ilvl="3" w:tplc="206E7A18" w:tentative="1">
      <w:start w:val="1"/>
      <w:numFmt w:val="bullet"/>
      <w:lvlText w:val=""/>
      <w:lvlJc w:val="left"/>
      <w:pPr>
        <w:tabs>
          <w:tab w:val="num" w:pos="2880"/>
        </w:tabs>
        <w:ind w:left="2880" w:hanging="360"/>
      </w:pPr>
      <w:rPr>
        <w:rFonts w:ascii="Wingdings" w:hAnsi="Wingdings" w:hint="default"/>
      </w:rPr>
    </w:lvl>
    <w:lvl w:ilvl="4" w:tplc="7AB86504" w:tentative="1">
      <w:start w:val="1"/>
      <w:numFmt w:val="bullet"/>
      <w:lvlText w:val=""/>
      <w:lvlJc w:val="left"/>
      <w:pPr>
        <w:tabs>
          <w:tab w:val="num" w:pos="3600"/>
        </w:tabs>
        <w:ind w:left="3600" w:hanging="360"/>
      </w:pPr>
      <w:rPr>
        <w:rFonts w:ascii="Wingdings" w:hAnsi="Wingdings" w:hint="default"/>
      </w:rPr>
    </w:lvl>
    <w:lvl w:ilvl="5" w:tplc="A0A8C4A6" w:tentative="1">
      <w:start w:val="1"/>
      <w:numFmt w:val="bullet"/>
      <w:lvlText w:val=""/>
      <w:lvlJc w:val="left"/>
      <w:pPr>
        <w:tabs>
          <w:tab w:val="num" w:pos="4320"/>
        </w:tabs>
        <w:ind w:left="4320" w:hanging="360"/>
      </w:pPr>
      <w:rPr>
        <w:rFonts w:ascii="Wingdings" w:hAnsi="Wingdings" w:hint="default"/>
      </w:rPr>
    </w:lvl>
    <w:lvl w:ilvl="6" w:tplc="AC28046C" w:tentative="1">
      <w:start w:val="1"/>
      <w:numFmt w:val="bullet"/>
      <w:lvlText w:val=""/>
      <w:lvlJc w:val="left"/>
      <w:pPr>
        <w:tabs>
          <w:tab w:val="num" w:pos="5040"/>
        </w:tabs>
        <w:ind w:left="5040" w:hanging="360"/>
      </w:pPr>
      <w:rPr>
        <w:rFonts w:ascii="Wingdings" w:hAnsi="Wingdings" w:hint="default"/>
      </w:rPr>
    </w:lvl>
    <w:lvl w:ilvl="7" w:tplc="DF0C9046" w:tentative="1">
      <w:start w:val="1"/>
      <w:numFmt w:val="bullet"/>
      <w:lvlText w:val=""/>
      <w:lvlJc w:val="left"/>
      <w:pPr>
        <w:tabs>
          <w:tab w:val="num" w:pos="5760"/>
        </w:tabs>
        <w:ind w:left="5760" w:hanging="360"/>
      </w:pPr>
      <w:rPr>
        <w:rFonts w:ascii="Wingdings" w:hAnsi="Wingdings" w:hint="default"/>
      </w:rPr>
    </w:lvl>
    <w:lvl w:ilvl="8" w:tplc="797C08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755DC"/>
    <w:multiLevelType w:val="hybridMultilevel"/>
    <w:tmpl w:val="A13CFE2C"/>
    <w:lvl w:ilvl="0" w:tplc="A7A86266">
      <w:start w:val="1"/>
      <w:numFmt w:val="lowerLetter"/>
      <w:lvlText w:val="%1)"/>
      <w:lvlJc w:val="left"/>
      <w:pPr>
        <w:ind w:left="360" w:hanging="360"/>
      </w:pPr>
      <w:rPr>
        <w:rFonts w:hint="default"/>
        <w:b/>
        <w:bCs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4CD709F0"/>
    <w:multiLevelType w:val="hybridMultilevel"/>
    <w:tmpl w:val="D0EEDD06"/>
    <w:lvl w:ilvl="0" w:tplc="BE28A3C6">
      <w:start w:val="1"/>
      <w:numFmt w:val="bullet"/>
      <w:lvlText w:val=""/>
      <w:lvlJc w:val="left"/>
      <w:pPr>
        <w:tabs>
          <w:tab w:val="num" w:pos="720"/>
        </w:tabs>
        <w:ind w:left="720" w:hanging="360"/>
      </w:pPr>
      <w:rPr>
        <w:rFonts w:ascii="Wingdings" w:hAnsi="Wingdings" w:hint="default"/>
      </w:rPr>
    </w:lvl>
    <w:lvl w:ilvl="1" w:tplc="4EBA8EF4" w:tentative="1">
      <w:start w:val="1"/>
      <w:numFmt w:val="bullet"/>
      <w:lvlText w:val=""/>
      <w:lvlJc w:val="left"/>
      <w:pPr>
        <w:tabs>
          <w:tab w:val="num" w:pos="1440"/>
        </w:tabs>
        <w:ind w:left="1440" w:hanging="360"/>
      </w:pPr>
      <w:rPr>
        <w:rFonts w:ascii="Wingdings" w:hAnsi="Wingdings" w:hint="default"/>
      </w:rPr>
    </w:lvl>
    <w:lvl w:ilvl="2" w:tplc="B722282A" w:tentative="1">
      <w:start w:val="1"/>
      <w:numFmt w:val="bullet"/>
      <w:lvlText w:val=""/>
      <w:lvlJc w:val="left"/>
      <w:pPr>
        <w:tabs>
          <w:tab w:val="num" w:pos="2160"/>
        </w:tabs>
        <w:ind w:left="2160" w:hanging="360"/>
      </w:pPr>
      <w:rPr>
        <w:rFonts w:ascii="Wingdings" w:hAnsi="Wingdings" w:hint="default"/>
      </w:rPr>
    </w:lvl>
    <w:lvl w:ilvl="3" w:tplc="36BC1B50" w:tentative="1">
      <w:start w:val="1"/>
      <w:numFmt w:val="bullet"/>
      <w:lvlText w:val=""/>
      <w:lvlJc w:val="left"/>
      <w:pPr>
        <w:tabs>
          <w:tab w:val="num" w:pos="2880"/>
        </w:tabs>
        <w:ind w:left="2880" w:hanging="360"/>
      </w:pPr>
      <w:rPr>
        <w:rFonts w:ascii="Wingdings" w:hAnsi="Wingdings" w:hint="default"/>
      </w:rPr>
    </w:lvl>
    <w:lvl w:ilvl="4" w:tplc="52D637C2" w:tentative="1">
      <w:start w:val="1"/>
      <w:numFmt w:val="bullet"/>
      <w:lvlText w:val=""/>
      <w:lvlJc w:val="left"/>
      <w:pPr>
        <w:tabs>
          <w:tab w:val="num" w:pos="3600"/>
        </w:tabs>
        <w:ind w:left="3600" w:hanging="360"/>
      </w:pPr>
      <w:rPr>
        <w:rFonts w:ascii="Wingdings" w:hAnsi="Wingdings" w:hint="default"/>
      </w:rPr>
    </w:lvl>
    <w:lvl w:ilvl="5" w:tplc="6A7EE536" w:tentative="1">
      <w:start w:val="1"/>
      <w:numFmt w:val="bullet"/>
      <w:lvlText w:val=""/>
      <w:lvlJc w:val="left"/>
      <w:pPr>
        <w:tabs>
          <w:tab w:val="num" w:pos="4320"/>
        </w:tabs>
        <w:ind w:left="4320" w:hanging="360"/>
      </w:pPr>
      <w:rPr>
        <w:rFonts w:ascii="Wingdings" w:hAnsi="Wingdings" w:hint="default"/>
      </w:rPr>
    </w:lvl>
    <w:lvl w:ilvl="6" w:tplc="0D70FB40" w:tentative="1">
      <w:start w:val="1"/>
      <w:numFmt w:val="bullet"/>
      <w:lvlText w:val=""/>
      <w:lvlJc w:val="left"/>
      <w:pPr>
        <w:tabs>
          <w:tab w:val="num" w:pos="5040"/>
        </w:tabs>
        <w:ind w:left="5040" w:hanging="360"/>
      </w:pPr>
      <w:rPr>
        <w:rFonts w:ascii="Wingdings" w:hAnsi="Wingdings" w:hint="default"/>
      </w:rPr>
    </w:lvl>
    <w:lvl w:ilvl="7" w:tplc="6E7C13AE" w:tentative="1">
      <w:start w:val="1"/>
      <w:numFmt w:val="bullet"/>
      <w:lvlText w:val=""/>
      <w:lvlJc w:val="left"/>
      <w:pPr>
        <w:tabs>
          <w:tab w:val="num" w:pos="5760"/>
        </w:tabs>
        <w:ind w:left="5760" w:hanging="360"/>
      </w:pPr>
      <w:rPr>
        <w:rFonts w:ascii="Wingdings" w:hAnsi="Wingdings" w:hint="default"/>
      </w:rPr>
    </w:lvl>
    <w:lvl w:ilvl="8" w:tplc="489297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9659B"/>
    <w:multiLevelType w:val="multilevel"/>
    <w:tmpl w:val="8AFEB0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6878C1"/>
    <w:multiLevelType w:val="hybridMultilevel"/>
    <w:tmpl w:val="1BFE2D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F7A155E"/>
    <w:multiLevelType w:val="hybridMultilevel"/>
    <w:tmpl w:val="F078D11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5" w15:restartNumberingAfterBreak="0">
    <w:nsid w:val="697E4FB9"/>
    <w:multiLevelType w:val="hybridMultilevel"/>
    <w:tmpl w:val="4302F598"/>
    <w:lvl w:ilvl="0" w:tplc="FCD621BE">
      <w:start w:val="1"/>
      <w:numFmt w:val="bullet"/>
      <w:lvlText w:val="-"/>
      <w:lvlJc w:val="left"/>
      <w:pPr>
        <w:ind w:left="720" w:hanging="360"/>
      </w:pPr>
      <w:rPr>
        <w:rFonts w:ascii="Vivaldi" w:hAnsi="Vival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F823DF"/>
    <w:multiLevelType w:val="multilevel"/>
    <w:tmpl w:val="8AAA0246"/>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7" w15:restartNumberingAfterBreak="0">
    <w:nsid w:val="75B8553F"/>
    <w:multiLevelType w:val="hybridMultilevel"/>
    <w:tmpl w:val="021AE972"/>
    <w:lvl w:ilvl="0" w:tplc="280A0001">
      <w:start w:val="1"/>
      <w:numFmt w:val="bullet"/>
      <w:lvlText w:val=""/>
      <w:lvlJc w:val="left"/>
      <w:pPr>
        <w:ind w:left="-1404" w:hanging="360"/>
      </w:pPr>
      <w:rPr>
        <w:rFonts w:ascii="Symbol" w:hAnsi="Symbol" w:hint="default"/>
      </w:rPr>
    </w:lvl>
    <w:lvl w:ilvl="1" w:tplc="280A0003">
      <w:start w:val="1"/>
      <w:numFmt w:val="bullet"/>
      <w:lvlText w:val="o"/>
      <w:lvlJc w:val="left"/>
      <w:pPr>
        <w:ind w:left="-684" w:hanging="360"/>
      </w:pPr>
      <w:rPr>
        <w:rFonts w:ascii="Courier New" w:hAnsi="Courier New" w:cs="Courier New" w:hint="default"/>
      </w:rPr>
    </w:lvl>
    <w:lvl w:ilvl="2" w:tplc="280A0005" w:tentative="1">
      <w:start w:val="1"/>
      <w:numFmt w:val="bullet"/>
      <w:lvlText w:val=""/>
      <w:lvlJc w:val="left"/>
      <w:pPr>
        <w:ind w:left="36" w:hanging="360"/>
      </w:pPr>
      <w:rPr>
        <w:rFonts w:ascii="Wingdings" w:hAnsi="Wingdings" w:hint="default"/>
      </w:rPr>
    </w:lvl>
    <w:lvl w:ilvl="3" w:tplc="280A0001" w:tentative="1">
      <w:start w:val="1"/>
      <w:numFmt w:val="bullet"/>
      <w:lvlText w:val=""/>
      <w:lvlJc w:val="left"/>
      <w:pPr>
        <w:ind w:left="756" w:hanging="360"/>
      </w:pPr>
      <w:rPr>
        <w:rFonts w:ascii="Symbol" w:hAnsi="Symbol" w:hint="default"/>
      </w:rPr>
    </w:lvl>
    <w:lvl w:ilvl="4" w:tplc="280A0003" w:tentative="1">
      <w:start w:val="1"/>
      <w:numFmt w:val="bullet"/>
      <w:lvlText w:val="o"/>
      <w:lvlJc w:val="left"/>
      <w:pPr>
        <w:ind w:left="1476" w:hanging="360"/>
      </w:pPr>
      <w:rPr>
        <w:rFonts w:ascii="Courier New" w:hAnsi="Courier New" w:cs="Courier New" w:hint="default"/>
      </w:rPr>
    </w:lvl>
    <w:lvl w:ilvl="5" w:tplc="280A0005" w:tentative="1">
      <w:start w:val="1"/>
      <w:numFmt w:val="bullet"/>
      <w:lvlText w:val=""/>
      <w:lvlJc w:val="left"/>
      <w:pPr>
        <w:ind w:left="2196" w:hanging="360"/>
      </w:pPr>
      <w:rPr>
        <w:rFonts w:ascii="Wingdings" w:hAnsi="Wingdings" w:hint="default"/>
      </w:rPr>
    </w:lvl>
    <w:lvl w:ilvl="6" w:tplc="280A0001" w:tentative="1">
      <w:start w:val="1"/>
      <w:numFmt w:val="bullet"/>
      <w:lvlText w:val=""/>
      <w:lvlJc w:val="left"/>
      <w:pPr>
        <w:ind w:left="2916" w:hanging="360"/>
      </w:pPr>
      <w:rPr>
        <w:rFonts w:ascii="Symbol" w:hAnsi="Symbol" w:hint="default"/>
      </w:rPr>
    </w:lvl>
    <w:lvl w:ilvl="7" w:tplc="280A0003" w:tentative="1">
      <w:start w:val="1"/>
      <w:numFmt w:val="bullet"/>
      <w:lvlText w:val="o"/>
      <w:lvlJc w:val="left"/>
      <w:pPr>
        <w:ind w:left="3636" w:hanging="360"/>
      </w:pPr>
      <w:rPr>
        <w:rFonts w:ascii="Courier New" w:hAnsi="Courier New" w:cs="Courier New" w:hint="default"/>
      </w:rPr>
    </w:lvl>
    <w:lvl w:ilvl="8" w:tplc="280A0005" w:tentative="1">
      <w:start w:val="1"/>
      <w:numFmt w:val="bullet"/>
      <w:lvlText w:val=""/>
      <w:lvlJc w:val="left"/>
      <w:pPr>
        <w:ind w:left="4356" w:hanging="360"/>
      </w:pPr>
      <w:rPr>
        <w:rFonts w:ascii="Wingdings" w:hAnsi="Wingdings" w:hint="default"/>
      </w:rPr>
    </w:lvl>
  </w:abstractNum>
  <w:abstractNum w:abstractNumId="18" w15:restartNumberingAfterBreak="0">
    <w:nsid w:val="776E0AF4"/>
    <w:multiLevelType w:val="hybridMultilevel"/>
    <w:tmpl w:val="3FCE3C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F14727"/>
    <w:multiLevelType w:val="hybridMultilevel"/>
    <w:tmpl w:val="BAFCF92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1B096A"/>
    <w:multiLevelType w:val="hybridMultilevel"/>
    <w:tmpl w:val="B92C46B0"/>
    <w:lvl w:ilvl="0" w:tplc="40488118">
      <w:start w:val="1"/>
      <w:numFmt w:val="bullet"/>
      <w:lvlText w:val="•"/>
      <w:lvlJc w:val="left"/>
      <w:pPr>
        <w:tabs>
          <w:tab w:val="num" w:pos="720"/>
        </w:tabs>
        <w:ind w:left="720" w:hanging="360"/>
      </w:pPr>
      <w:rPr>
        <w:rFonts w:ascii="Arial" w:hAnsi="Arial" w:hint="default"/>
      </w:rPr>
    </w:lvl>
    <w:lvl w:ilvl="1" w:tplc="E5B045B0" w:tentative="1">
      <w:start w:val="1"/>
      <w:numFmt w:val="bullet"/>
      <w:lvlText w:val="•"/>
      <w:lvlJc w:val="left"/>
      <w:pPr>
        <w:tabs>
          <w:tab w:val="num" w:pos="1440"/>
        </w:tabs>
        <w:ind w:left="1440" w:hanging="360"/>
      </w:pPr>
      <w:rPr>
        <w:rFonts w:ascii="Arial" w:hAnsi="Arial" w:hint="default"/>
      </w:rPr>
    </w:lvl>
    <w:lvl w:ilvl="2" w:tplc="E5AC8B20" w:tentative="1">
      <w:start w:val="1"/>
      <w:numFmt w:val="bullet"/>
      <w:lvlText w:val="•"/>
      <w:lvlJc w:val="left"/>
      <w:pPr>
        <w:tabs>
          <w:tab w:val="num" w:pos="2160"/>
        </w:tabs>
        <w:ind w:left="2160" w:hanging="360"/>
      </w:pPr>
      <w:rPr>
        <w:rFonts w:ascii="Arial" w:hAnsi="Arial" w:hint="default"/>
      </w:rPr>
    </w:lvl>
    <w:lvl w:ilvl="3" w:tplc="DD18A354" w:tentative="1">
      <w:start w:val="1"/>
      <w:numFmt w:val="bullet"/>
      <w:lvlText w:val="•"/>
      <w:lvlJc w:val="left"/>
      <w:pPr>
        <w:tabs>
          <w:tab w:val="num" w:pos="2880"/>
        </w:tabs>
        <w:ind w:left="2880" w:hanging="360"/>
      </w:pPr>
      <w:rPr>
        <w:rFonts w:ascii="Arial" w:hAnsi="Arial" w:hint="default"/>
      </w:rPr>
    </w:lvl>
    <w:lvl w:ilvl="4" w:tplc="79228FE4" w:tentative="1">
      <w:start w:val="1"/>
      <w:numFmt w:val="bullet"/>
      <w:lvlText w:val="•"/>
      <w:lvlJc w:val="left"/>
      <w:pPr>
        <w:tabs>
          <w:tab w:val="num" w:pos="3600"/>
        </w:tabs>
        <w:ind w:left="3600" w:hanging="360"/>
      </w:pPr>
      <w:rPr>
        <w:rFonts w:ascii="Arial" w:hAnsi="Arial" w:hint="default"/>
      </w:rPr>
    </w:lvl>
    <w:lvl w:ilvl="5" w:tplc="C4D4A6C8" w:tentative="1">
      <w:start w:val="1"/>
      <w:numFmt w:val="bullet"/>
      <w:lvlText w:val="•"/>
      <w:lvlJc w:val="left"/>
      <w:pPr>
        <w:tabs>
          <w:tab w:val="num" w:pos="4320"/>
        </w:tabs>
        <w:ind w:left="4320" w:hanging="360"/>
      </w:pPr>
      <w:rPr>
        <w:rFonts w:ascii="Arial" w:hAnsi="Arial" w:hint="default"/>
      </w:rPr>
    </w:lvl>
    <w:lvl w:ilvl="6" w:tplc="E172874A" w:tentative="1">
      <w:start w:val="1"/>
      <w:numFmt w:val="bullet"/>
      <w:lvlText w:val="•"/>
      <w:lvlJc w:val="left"/>
      <w:pPr>
        <w:tabs>
          <w:tab w:val="num" w:pos="5040"/>
        </w:tabs>
        <w:ind w:left="5040" w:hanging="360"/>
      </w:pPr>
      <w:rPr>
        <w:rFonts w:ascii="Arial" w:hAnsi="Arial" w:hint="default"/>
      </w:rPr>
    </w:lvl>
    <w:lvl w:ilvl="7" w:tplc="8892C5AC" w:tentative="1">
      <w:start w:val="1"/>
      <w:numFmt w:val="bullet"/>
      <w:lvlText w:val="•"/>
      <w:lvlJc w:val="left"/>
      <w:pPr>
        <w:tabs>
          <w:tab w:val="num" w:pos="5760"/>
        </w:tabs>
        <w:ind w:left="5760" w:hanging="360"/>
      </w:pPr>
      <w:rPr>
        <w:rFonts w:ascii="Arial" w:hAnsi="Arial" w:hint="default"/>
      </w:rPr>
    </w:lvl>
    <w:lvl w:ilvl="8" w:tplc="DF008F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6F2BAC"/>
    <w:multiLevelType w:val="multilevel"/>
    <w:tmpl w:val="34D67EC4"/>
    <w:lvl w:ilvl="0">
      <w:start w:val="1"/>
      <w:numFmt w:val="decimal"/>
      <w:lvlText w:val="%1."/>
      <w:lvlJc w:val="left"/>
      <w:pPr>
        <w:ind w:left="560" w:hanging="560"/>
      </w:pPr>
      <w:rPr>
        <w:rFonts w:hint="default"/>
        <w:i w:val="0"/>
      </w:rPr>
    </w:lvl>
    <w:lvl w:ilvl="1">
      <w:start w:val="3"/>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16"/>
  </w:num>
  <w:num w:numId="2">
    <w:abstractNumId w:val="11"/>
  </w:num>
  <w:num w:numId="3">
    <w:abstractNumId w:val="14"/>
  </w:num>
  <w:num w:numId="4">
    <w:abstractNumId w:val="9"/>
  </w:num>
  <w:num w:numId="5">
    <w:abstractNumId w:val="5"/>
  </w:num>
  <w:num w:numId="6">
    <w:abstractNumId w:val="0"/>
  </w:num>
  <w:num w:numId="7">
    <w:abstractNumId w:val="20"/>
  </w:num>
  <w:num w:numId="8">
    <w:abstractNumId w:val="8"/>
  </w:num>
  <w:num w:numId="9">
    <w:abstractNumId w:val="17"/>
  </w:num>
  <w:num w:numId="10">
    <w:abstractNumId w:val="1"/>
  </w:num>
  <w:num w:numId="11">
    <w:abstractNumId w:val="10"/>
  </w:num>
  <w:num w:numId="12">
    <w:abstractNumId w:val="19"/>
  </w:num>
  <w:num w:numId="13">
    <w:abstractNumId w:val="4"/>
  </w:num>
  <w:num w:numId="14">
    <w:abstractNumId w:val="21"/>
  </w:num>
  <w:num w:numId="15">
    <w:abstractNumId w:val="13"/>
  </w:num>
  <w:num w:numId="16">
    <w:abstractNumId w:val="3"/>
  </w:num>
  <w:num w:numId="17">
    <w:abstractNumId w:val="15"/>
  </w:num>
  <w:num w:numId="18">
    <w:abstractNumId w:val="18"/>
  </w:num>
  <w:num w:numId="19">
    <w:abstractNumId w:val="6"/>
  </w:num>
  <w:num w:numId="20">
    <w:abstractNumId w:val="7"/>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D2"/>
    <w:rsid w:val="00004201"/>
    <w:rsid w:val="00006354"/>
    <w:rsid w:val="00010D7D"/>
    <w:rsid w:val="00016A99"/>
    <w:rsid w:val="00032FD0"/>
    <w:rsid w:val="00034494"/>
    <w:rsid w:val="0004237A"/>
    <w:rsid w:val="000424A7"/>
    <w:rsid w:val="00042F5C"/>
    <w:rsid w:val="0004370C"/>
    <w:rsid w:val="000475D3"/>
    <w:rsid w:val="00053613"/>
    <w:rsid w:val="000558E9"/>
    <w:rsid w:val="00056376"/>
    <w:rsid w:val="00056BF6"/>
    <w:rsid w:val="00056F0E"/>
    <w:rsid w:val="00057E2A"/>
    <w:rsid w:val="00062505"/>
    <w:rsid w:val="0006377D"/>
    <w:rsid w:val="00071BD2"/>
    <w:rsid w:val="00074991"/>
    <w:rsid w:val="000769A1"/>
    <w:rsid w:val="00076F29"/>
    <w:rsid w:val="0008449D"/>
    <w:rsid w:val="00093725"/>
    <w:rsid w:val="00093A9F"/>
    <w:rsid w:val="00094033"/>
    <w:rsid w:val="00097E98"/>
    <w:rsid w:val="000B596E"/>
    <w:rsid w:val="000C18EF"/>
    <w:rsid w:val="000C2A12"/>
    <w:rsid w:val="000D1388"/>
    <w:rsid w:val="000D4BB9"/>
    <w:rsid w:val="000D677C"/>
    <w:rsid w:val="000E105F"/>
    <w:rsid w:val="000E31F8"/>
    <w:rsid w:val="000E3D62"/>
    <w:rsid w:val="000E7ECF"/>
    <w:rsid w:val="000F249F"/>
    <w:rsid w:val="000F5690"/>
    <w:rsid w:val="000F77D4"/>
    <w:rsid w:val="00100D36"/>
    <w:rsid w:val="00111657"/>
    <w:rsid w:val="00116357"/>
    <w:rsid w:val="0012475D"/>
    <w:rsid w:val="001317B5"/>
    <w:rsid w:val="0014044A"/>
    <w:rsid w:val="00146B2F"/>
    <w:rsid w:val="001562C3"/>
    <w:rsid w:val="0016591A"/>
    <w:rsid w:val="00166B6D"/>
    <w:rsid w:val="00172F26"/>
    <w:rsid w:val="001944E7"/>
    <w:rsid w:val="001A09FA"/>
    <w:rsid w:val="001A16A8"/>
    <w:rsid w:val="001A645B"/>
    <w:rsid w:val="001B0E3C"/>
    <w:rsid w:val="001B4C7E"/>
    <w:rsid w:val="001B59BC"/>
    <w:rsid w:val="001B67D2"/>
    <w:rsid w:val="001B7D87"/>
    <w:rsid w:val="001F13A5"/>
    <w:rsid w:val="001F5D4B"/>
    <w:rsid w:val="00213C41"/>
    <w:rsid w:val="00221139"/>
    <w:rsid w:val="002218DB"/>
    <w:rsid w:val="00224CCB"/>
    <w:rsid w:val="00237506"/>
    <w:rsid w:val="00241942"/>
    <w:rsid w:val="002479DF"/>
    <w:rsid w:val="0026041A"/>
    <w:rsid w:val="00266D6A"/>
    <w:rsid w:val="00274AB6"/>
    <w:rsid w:val="00283C1A"/>
    <w:rsid w:val="00283DC9"/>
    <w:rsid w:val="002859F6"/>
    <w:rsid w:val="00287F58"/>
    <w:rsid w:val="00295A17"/>
    <w:rsid w:val="002A23A5"/>
    <w:rsid w:val="002A6825"/>
    <w:rsid w:val="002B7803"/>
    <w:rsid w:val="002C0EEA"/>
    <w:rsid w:val="002C2EEF"/>
    <w:rsid w:val="002D0534"/>
    <w:rsid w:val="002D1E09"/>
    <w:rsid w:val="002D3A7B"/>
    <w:rsid w:val="002D569F"/>
    <w:rsid w:val="002D7E1F"/>
    <w:rsid w:val="002D7E90"/>
    <w:rsid w:val="002E5010"/>
    <w:rsid w:val="002E78AF"/>
    <w:rsid w:val="002F68FE"/>
    <w:rsid w:val="00300427"/>
    <w:rsid w:val="00306711"/>
    <w:rsid w:val="00307955"/>
    <w:rsid w:val="00312BD0"/>
    <w:rsid w:val="00312BFF"/>
    <w:rsid w:val="00314852"/>
    <w:rsid w:val="00316241"/>
    <w:rsid w:val="003179D2"/>
    <w:rsid w:val="00321792"/>
    <w:rsid w:val="00331EDB"/>
    <w:rsid w:val="00332335"/>
    <w:rsid w:val="00335812"/>
    <w:rsid w:val="0034304F"/>
    <w:rsid w:val="00345431"/>
    <w:rsid w:val="003504B3"/>
    <w:rsid w:val="003519BF"/>
    <w:rsid w:val="00352555"/>
    <w:rsid w:val="00382A92"/>
    <w:rsid w:val="0038578B"/>
    <w:rsid w:val="0039394B"/>
    <w:rsid w:val="003A382B"/>
    <w:rsid w:val="003A656A"/>
    <w:rsid w:val="003B28A8"/>
    <w:rsid w:val="003B6CFB"/>
    <w:rsid w:val="003D4895"/>
    <w:rsid w:val="003D71D8"/>
    <w:rsid w:val="003D7B7C"/>
    <w:rsid w:val="003E17DE"/>
    <w:rsid w:val="003E257C"/>
    <w:rsid w:val="003E5914"/>
    <w:rsid w:val="003F444E"/>
    <w:rsid w:val="00400AE7"/>
    <w:rsid w:val="004038EC"/>
    <w:rsid w:val="00404C6B"/>
    <w:rsid w:val="00406B90"/>
    <w:rsid w:val="00412524"/>
    <w:rsid w:val="004125A2"/>
    <w:rsid w:val="0041599B"/>
    <w:rsid w:val="0042092E"/>
    <w:rsid w:val="00424DB6"/>
    <w:rsid w:val="00432C7C"/>
    <w:rsid w:val="0043344C"/>
    <w:rsid w:val="0044048B"/>
    <w:rsid w:val="00446E97"/>
    <w:rsid w:val="00447DC5"/>
    <w:rsid w:val="00450038"/>
    <w:rsid w:val="00455C8D"/>
    <w:rsid w:val="00462949"/>
    <w:rsid w:val="00466FB1"/>
    <w:rsid w:val="00467681"/>
    <w:rsid w:val="00467DA8"/>
    <w:rsid w:val="00474DBA"/>
    <w:rsid w:val="00487EFA"/>
    <w:rsid w:val="00491264"/>
    <w:rsid w:val="004955D4"/>
    <w:rsid w:val="004A4130"/>
    <w:rsid w:val="004A4AE3"/>
    <w:rsid w:val="004B3985"/>
    <w:rsid w:val="004C60D9"/>
    <w:rsid w:val="004D2403"/>
    <w:rsid w:val="004D32A0"/>
    <w:rsid w:val="004D74CA"/>
    <w:rsid w:val="004E2381"/>
    <w:rsid w:val="004F0928"/>
    <w:rsid w:val="004F1A8C"/>
    <w:rsid w:val="005005FF"/>
    <w:rsid w:val="00507436"/>
    <w:rsid w:val="005133D1"/>
    <w:rsid w:val="0051407D"/>
    <w:rsid w:val="0052169C"/>
    <w:rsid w:val="00521753"/>
    <w:rsid w:val="00522735"/>
    <w:rsid w:val="00527ED8"/>
    <w:rsid w:val="005324E6"/>
    <w:rsid w:val="005347F1"/>
    <w:rsid w:val="005418FF"/>
    <w:rsid w:val="0054546D"/>
    <w:rsid w:val="005552E1"/>
    <w:rsid w:val="00556394"/>
    <w:rsid w:val="005653D0"/>
    <w:rsid w:val="00566B5A"/>
    <w:rsid w:val="0056779C"/>
    <w:rsid w:val="00567E15"/>
    <w:rsid w:val="00570FF4"/>
    <w:rsid w:val="00576BAB"/>
    <w:rsid w:val="005922D9"/>
    <w:rsid w:val="00593718"/>
    <w:rsid w:val="0059641E"/>
    <w:rsid w:val="005A00E2"/>
    <w:rsid w:val="005A2C5E"/>
    <w:rsid w:val="005A3237"/>
    <w:rsid w:val="005A3E51"/>
    <w:rsid w:val="005A515B"/>
    <w:rsid w:val="005B469D"/>
    <w:rsid w:val="005D190A"/>
    <w:rsid w:val="005E7B9F"/>
    <w:rsid w:val="005F46D8"/>
    <w:rsid w:val="005F6D1C"/>
    <w:rsid w:val="00601263"/>
    <w:rsid w:val="00602AD6"/>
    <w:rsid w:val="00604919"/>
    <w:rsid w:val="0060494B"/>
    <w:rsid w:val="006111DE"/>
    <w:rsid w:val="006154FE"/>
    <w:rsid w:val="00617DF6"/>
    <w:rsid w:val="00621E0F"/>
    <w:rsid w:val="00630BF7"/>
    <w:rsid w:val="00631792"/>
    <w:rsid w:val="00634A5B"/>
    <w:rsid w:val="006434AE"/>
    <w:rsid w:val="006524E8"/>
    <w:rsid w:val="00654455"/>
    <w:rsid w:val="00654B57"/>
    <w:rsid w:val="00655D13"/>
    <w:rsid w:val="00661346"/>
    <w:rsid w:val="006619F4"/>
    <w:rsid w:val="00670F81"/>
    <w:rsid w:val="00672627"/>
    <w:rsid w:val="00677615"/>
    <w:rsid w:val="00695AA7"/>
    <w:rsid w:val="00696446"/>
    <w:rsid w:val="0069758A"/>
    <w:rsid w:val="006A1D06"/>
    <w:rsid w:val="006A79B6"/>
    <w:rsid w:val="006B12B6"/>
    <w:rsid w:val="006B1ADE"/>
    <w:rsid w:val="006B3C5B"/>
    <w:rsid w:val="006C0726"/>
    <w:rsid w:val="006C609C"/>
    <w:rsid w:val="006C6CB0"/>
    <w:rsid w:val="006D40B1"/>
    <w:rsid w:val="006D4A1C"/>
    <w:rsid w:val="006D615A"/>
    <w:rsid w:val="006E2B67"/>
    <w:rsid w:val="006E7E02"/>
    <w:rsid w:val="006F0719"/>
    <w:rsid w:val="006F1994"/>
    <w:rsid w:val="006F3F18"/>
    <w:rsid w:val="00700388"/>
    <w:rsid w:val="00700F14"/>
    <w:rsid w:val="00701B4A"/>
    <w:rsid w:val="00713EFD"/>
    <w:rsid w:val="0071451C"/>
    <w:rsid w:val="007173B1"/>
    <w:rsid w:val="00731EC4"/>
    <w:rsid w:val="00736F32"/>
    <w:rsid w:val="00737532"/>
    <w:rsid w:val="0074068B"/>
    <w:rsid w:val="00752534"/>
    <w:rsid w:val="0075282D"/>
    <w:rsid w:val="00755927"/>
    <w:rsid w:val="0075794D"/>
    <w:rsid w:val="007607F7"/>
    <w:rsid w:val="00766AE4"/>
    <w:rsid w:val="00767A13"/>
    <w:rsid w:val="00771918"/>
    <w:rsid w:val="00775F86"/>
    <w:rsid w:val="00783279"/>
    <w:rsid w:val="00786405"/>
    <w:rsid w:val="00791DFE"/>
    <w:rsid w:val="00792120"/>
    <w:rsid w:val="00792260"/>
    <w:rsid w:val="007927EF"/>
    <w:rsid w:val="007A005D"/>
    <w:rsid w:val="007A0BA5"/>
    <w:rsid w:val="007A14FE"/>
    <w:rsid w:val="007A1E83"/>
    <w:rsid w:val="007A23DF"/>
    <w:rsid w:val="007A4DA2"/>
    <w:rsid w:val="007B151F"/>
    <w:rsid w:val="007B6C58"/>
    <w:rsid w:val="007C3D62"/>
    <w:rsid w:val="007C4403"/>
    <w:rsid w:val="007C57CD"/>
    <w:rsid w:val="007D1E2B"/>
    <w:rsid w:val="007D2E34"/>
    <w:rsid w:val="007D4727"/>
    <w:rsid w:val="007D4F05"/>
    <w:rsid w:val="007E2E13"/>
    <w:rsid w:val="007E3320"/>
    <w:rsid w:val="007E409D"/>
    <w:rsid w:val="007E6F5D"/>
    <w:rsid w:val="007F7183"/>
    <w:rsid w:val="007F758A"/>
    <w:rsid w:val="00801BF4"/>
    <w:rsid w:val="00803171"/>
    <w:rsid w:val="0080415F"/>
    <w:rsid w:val="008057F4"/>
    <w:rsid w:val="00807F09"/>
    <w:rsid w:val="0081025B"/>
    <w:rsid w:val="00820B78"/>
    <w:rsid w:val="008402E5"/>
    <w:rsid w:val="00843E0F"/>
    <w:rsid w:val="008472B5"/>
    <w:rsid w:val="008477E3"/>
    <w:rsid w:val="0085027E"/>
    <w:rsid w:val="008569A2"/>
    <w:rsid w:val="008577DB"/>
    <w:rsid w:val="00857905"/>
    <w:rsid w:val="00857E1B"/>
    <w:rsid w:val="00864145"/>
    <w:rsid w:val="008666E9"/>
    <w:rsid w:val="00871B89"/>
    <w:rsid w:val="008731CD"/>
    <w:rsid w:val="00876511"/>
    <w:rsid w:val="00876962"/>
    <w:rsid w:val="00877A83"/>
    <w:rsid w:val="00892D4A"/>
    <w:rsid w:val="008A5332"/>
    <w:rsid w:val="008A56E5"/>
    <w:rsid w:val="008A6392"/>
    <w:rsid w:val="008B3695"/>
    <w:rsid w:val="008C4EDF"/>
    <w:rsid w:val="008C6019"/>
    <w:rsid w:val="008C716C"/>
    <w:rsid w:val="008D1493"/>
    <w:rsid w:val="008E36B2"/>
    <w:rsid w:val="008E6BB5"/>
    <w:rsid w:val="008F019E"/>
    <w:rsid w:val="008F33D9"/>
    <w:rsid w:val="008F3844"/>
    <w:rsid w:val="00902650"/>
    <w:rsid w:val="00903F09"/>
    <w:rsid w:val="00904E96"/>
    <w:rsid w:val="009076F1"/>
    <w:rsid w:val="00910E3E"/>
    <w:rsid w:val="009139AC"/>
    <w:rsid w:val="009153F7"/>
    <w:rsid w:val="00917F43"/>
    <w:rsid w:val="009201DE"/>
    <w:rsid w:val="00922C4A"/>
    <w:rsid w:val="00922FD3"/>
    <w:rsid w:val="00926216"/>
    <w:rsid w:val="009332C3"/>
    <w:rsid w:val="00933DB8"/>
    <w:rsid w:val="0093440E"/>
    <w:rsid w:val="00940B22"/>
    <w:rsid w:val="00940F2E"/>
    <w:rsid w:val="009424A2"/>
    <w:rsid w:val="00944B00"/>
    <w:rsid w:val="009474BC"/>
    <w:rsid w:val="0095072F"/>
    <w:rsid w:val="009606BE"/>
    <w:rsid w:val="00964E96"/>
    <w:rsid w:val="0096707C"/>
    <w:rsid w:val="009720F2"/>
    <w:rsid w:val="00977EC1"/>
    <w:rsid w:val="00990CB0"/>
    <w:rsid w:val="009924EE"/>
    <w:rsid w:val="009A3039"/>
    <w:rsid w:val="009A43BA"/>
    <w:rsid w:val="009B03B2"/>
    <w:rsid w:val="009B0B60"/>
    <w:rsid w:val="009B29A4"/>
    <w:rsid w:val="009B399E"/>
    <w:rsid w:val="009C26D8"/>
    <w:rsid w:val="009C45A3"/>
    <w:rsid w:val="009C5B58"/>
    <w:rsid w:val="009D2A46"/>
    <w:rsid w:val="009D446A"/>
    <w:rsid w:val="009D7527"/>
    <w:rsid w:val="009D7BE3"/>
    <w:rsid w:val="009E18F0"/>
    <w:rsid w:val="009E2182"/>
    <w:rsid w:val="009E5FE0"/>
    <w:rsid w:val="009E7952"/>
    <w:rsid w:val="009F0F0A"/>
    <w:rsid w:val="009F1E50"/>
    <w:rsid w:val="009F7433"/>
    <w:rsid w:val="00A039F9"/>
    <w:rsid w:val="00A06C03"/>
    <w:rsid w:val="00A15FB7"/>
    <w:rsid w:val="00A21804"/>
    <w:rsid w:val="00A21CBD"/>
    <w:rsid w:val="00A31DC9"/>
    <w:rsid w:val="00A3702F"/>
    <w:rsid w:val="00A431F5"/>
    <w:rsid w:val="00A44EF8"/>
    <w:rsid w:val="00A45C81"/>
    <w:rsid w:val="00A520D9"/>
    <w:rsid w:val="00A53504"/>
    <w:rsid w:val="00A63CB2"/>
    <w:rsid w:val="00A70BBB"/>
    <w:rsid w:val="00A760B8"/>
    <w:rsid w:val="00A766CD"/>
    <w:rsid w:val="00A81D25"/>
    <w:rsid w:val="00A82A03"/>
    <w:rsid w:val="00A848F7"/>
    <w:rsid w:val="00A9278B"/>
    <w:rsid w:val="00A9763F"/>
    <w:rsid w:val="00AA08D7"/>
    <w:rsid w:val="00AA231B"/>
    <w:rsid w:val="00AB719B"/>
    <w:rsid w:val="00AC1D2F"/>
    <w:rsid w:val="00AD54FD"/>
    <w:rsid w:val="00AD7C8B"/>
    <w:rsid w:val="00AE2C24"/>
    <w:rsid w:val="00AE3797"/>
    <w:rsid w:val="00AE4044"/>
    <w:rsid w:val="00AE5128"/>
    <w:rsid w:val="00AE7C97"/>
    <w:rsid w:val="00AF54D9"/>
    <w:rsid w:val="00B00422"/>
    <w:rsid w:val="00B04395"/>
    <w:rsid w:val="00B14332"/>
    <w:rsid w:val="00B14EE8"/>
    <w:rsid w:val="00B151D9"/>
    <w:rsid w:val="00B179F5"/>
    <w:rsid w:val="00B20D32"/>
    <w:rsid w:val="00B20FDD"/>
    <w:rsid w:val="00B27727"/>
    <w:rsid w:val="00B30F73"/>
    <w:rsid w:val="00B35E2F"/>
    <w:rsid w:val="00B37085"/>
    <w:rsid w:val="00B376B7"/>
    <w:rsid w:val="00B426EB"/>
    <w:rsid w:val="00B44D81"/>
    <w:rsid w:val="00B52FA9"/>
    <w:rsid w:val="00B5470D"/>
    <w:rsid w:val="00B574B2"/>
    <w:rsid w:val="00B607A0"/>
    <w:rsid w:val="00B63020"/>
    <w:rsid w:val="00B64E55"/>
    <w:rsid w:val="00B66568"/>
    <w:rsid w:val="00B7676C"/>
    <w:rsid w:val="00B77938"/>
    <w:rsid w:val="00B96FA7"/>
    <w:rsid w:val="00BA227E"/>
    <w:rsid w:val="00BA4288"/>
    <w:rsid w:val="00BA5E34"/>
    <w:rsid w:val="00BA6807"/>
    <w:rsid w:val="00BB0978"/>
    <w:rsid w:val="00BB3277"/>
    <w:rsid w:val="00BB4952"/>
    <w:rsid w:val="00BB7845"/>
    <w:rsid w:val="00BC000A"/>
    <w:rsid w:val="00BD160D"/>
    <w:rsid w:val="00BD2B72"/>
    <w:rsid w:val="00BD6B91"/>
    <w:rsid w:val="00BE0754"/>
    <w:rsid w:val="00BE1139"/>
    <w:rsid w:val="00BE6952"/>
    <w:rsid w:val="00BE6E72"/>
    <w:rsid w:val="00BF373B"/>
    <w:rsid w:val="00BF4314"/>
    <w:rsid w:val="00C00114"/>
    <w:rsid w:val="00C00B79"/>
    <w:rsid w:val="00C056CE"/>
    <w:rsid w:val="00C075FF"/>
    <w:rsid w:val="00C110B9"/>
    <w:rsid w:val="00C16339"/>
    <w:rsid w:val="00C20B8D"/>
    <w:rsid w:val="00C22A69"/>
    <w:rsid w:val="00C32829"/>
    <w:rsid w:val="00C36379"/>
    <w:rsid w:val="00C42306"/>
    <w:rsid w:val="00C45C19"/>
    <w:rsid w:val="00C53BB8"/>
    <w:rsid w:val="00C546C9"/>
    <w:rsid w:val="00C61F79"/>
    <w:rsid w:val="00C64252"/>
    <w:rsid w:val="00C7167B"/>
    <w:rsid w:val="00C7261F"/>
    <w:rsid w:val="00C815D6"/>
    <w:rsid w:val="00C82A0E"/>
    <w:rsid w:val="00C832EE"/>
    <w:rsid w:val="00C83454"/>
    <w:rsid w:val="00C84891"/>
    <w:rsid w:val="00C85436"/>
    <w:rsid w:val="00C85695"/>
    <w:rsid w:val="00C91132"/>
    <w:rsid w:val="00C927D7"/>
    <w:rsid w:val="00C96D93"/>
    <w:rsid w:val="00CA63D8"/>
    <w:rsid w:val="00CB0C48"/>
    <w:rsid w:val="00CB2ED1"/>
    <w:rsid w:val="00CC29D9"/>
    <w:rsid w:val="00CF014A"/>
    <w:rsid w:val="00CF0361"/>
    <w:rsid w:val="00CF0EBC"/>
    <w:rsid w:val="00CF6490"/>
    <w:rsid w:val="00CF683E"/>
    <w:rsid w:val="00D055BC"/>
    <w:rsid w:val="00D161D6"/>
    <w:rsid w:val="00D165FE"/>
    <w:rsid w:val="00D17770"/>
    <w:rsid w:val="00D235EA"/>
    <w:rsid w:val="00D26757"/>
    <w:rsid w:val="00D34EBE"/>
    <w:rsid w:val="00D44F9D"/>
    <w:rsid w:val="00D534CE"/>
    <w:rsid w:val="00D54E7D"/>
    <w:rsid w:val="00D61593"/>
    <w:rsid w:val="00D748E5"/>
    <w:rsid w:val="00D83DDA"/>
    <w:rsid w:val="00D84996"/>
    <w:rsid w:val="00D912D4"/>
    <w:rsid w:val="00D966E9"/>
    <w:rsid w:val="00D97D98"/>
    <w:rsid w:val="00DA19BC"/>
    <w:rsid w:val="00DB7FF5"/>
    <w:rsid w:val="00DC3784"/>
    <w:rsid w:val="00DC4D0F"/>
    <w:rsid w:val="00DC513C"/>
    <w:rsid w:val="00DD178F"/>
    <w:rsid w:val="00DD7B37"/>
    <w:rsid w:val="00E00026"/>
    <w:rsid w:val="00E05F76"/>
    <w:rsid w:val="00E07803"/>
    <w:rsid w:val="00E147BF"/>
    <w:rsid w:val="00E160D4"/>
    <w:rsid w:val="00E20E3C"/>
    <w:rsid w:val="00E26C1B"/>
    <w:rsid w:val="00E30CED"/>
    <w:rsid w:val="00E3368F"/>
    <w:rsid w:val="00E3524B"/>
    <w:rsid w:val="00E40FA4"/>
    <w:rsid w:val="00E440CB"/>
    <w:rsid w:val="00E548AA"/>
    <w:rsid w:val="00E55EDB"/>
    <w:rsid w:val="00E607C2"/>
    <w:rsid w:val="00E60A0B"/>
    <w:rsid w:val="00E60EEE"/>
    <w:rsid w:val="00E612C3"/>
    <w:rsid w:val="00E62397"/>
    <w:rsid w:val="00E65279"/>
    <w:rsid w:val="00E66020"/>
    <w:rsid w:val="00E66D0F"/>
    <w:rsid w:val="00E74CA5"/>
    <w:rsid w:val="00E75406"/>
    <w:rsid w:val="00E97C7A"/>
    <w:rsid w:val="00EA30FF"/>
    <w:rsid w:val="00EA48A9"/>
    <w:rsid w:val="00EA7470"/>
    <w:rsid w:val="00EB21A8"/>
    <w:rsid w:val="00EB7496"/>
    <w:rsid w:val="00EC5E79"/>
    <w:rsid w:val="00EC7030"/>
    <w:rsid w:val="00ED006B"/>
    <w:rsid w:val="00ED04AB"/>
    <w:rsid w:val="00EE07E3"/>
    <w:rsid w:val="00EE353D"/>
    <w:rsid w:val="00EE71CD"/>
    <w:rsid w:val="00EF1510"/>
    <w:rsid w:val="00EF4290"/>
    <w:rsid w:val="00EF7057"/>
    <w:rsid w:val="00EF7985"/>
    <w:rsid w:val="00F2045E"/>
    <w:rsid w:val="00F22F0A"/>
    <w:rsid w:val="00F24BBE"/>
    <w:rsid w:val="00F25936"/>
    <w:rsid w:val="00F30AE3"/>
    <w:rsid w:val="00F3294B"/>
    <w:rsid w:val="00F400A7"/>
    <w:rsid w:val="00F41185"/>
    <w:rsid w:val="00F44B6F"/>
    <w:rsid w:val="00F46007"/>
    <w:rsid w:val="00F46621"/>
    <w:rsid w:val="00F50DEA"/>
    <w:rsid w:val="00F54B49"/>
    <w:rsid w:val="00F56F11"/>
    <w:rsid w:val="00F56FAA"/>
    <w:rsid w:val="00F6211A"/>
    <w:rsid w:val="00F62FA0"/>
    <w:rsid w:val="00F658A9"/>
    <w:rsid w:val="00F65A24"/>
    <w:rsid w:val="00F71775"/>
    <w:rsid w:val="00F804B1"/>
    <w:rsid w:val="00F84293"/>
    <w:rsid w:val="00F8446C"/>
    <w:rsid w:val="00F91BEE"/>
    <w:rsid w:val="00F93AE3"/>
    <w:rsid w:val="00FA1D14"/>
    <w:rsid w:val="00FA374C"/>
    <w:rsid w:val="00FB31CE"/>
    <w:rsid w:val="00FB3443"/>
    <w:rsid w:val="00FB72B8"/>
    <w:rsid w:val="00FC5D5C"/>
    <w:rsid w:val="00FD54C2"/>
    <w:rsid w:val="00FF06D1"/>
    <w:rsid w:val="00FF0C04"/>
    <w:rsid w:val="00FF5E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879C5"/>
  <w15:docId w15:val="{FE33DE54-153D-3343-87A8-57118872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D2"/>
  </w:style>
  <w:style w:type="paragraph" w:styleId="Ttulo1">
    <w:name w:val="heading 1"/>
    <w:basedOn w:val="Normal"/>
    <w:next w:val="Normal"/>
    <w:link w:val="Ttulo1Car"/>
    <w:uiPriority w:val="9"/>
    <w:qFormat/>
    <w:rsid w:val="00F65A24"/>
    <w:pPr>
      <w:keepNext/>
      <w:keepLines/>
      <w:spacing w:before="240" w:after="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3179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056CE"/>
    <w:pPr>
      <w:keepNext/>
      <w:keepLines/>
      <w:spacing w:before="40" w:after="0"/>
      <w:outlineLvl w:val="2"/>
    </w:pPr>
    <w:rPr>
      <w:rFonts w:ascii="Arial" w:eastAsiaTheme="majorEastAsia" w:hAnsi="Arial"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056CE"/>
    <w:rPr>
      <w:rFonts w:ascii="Arial" w:eastAsiaTheme="majorEastAsia" w:hAnsi="Arial" w:cstheme="majorBidi"/>
      <w:color w:val="1F3763" w:themeColor="accent1" w:themeShade="7F"/>
      <w:sz w:val="24"/>
      <w:szCs w:val="24"/>
    </w:rPr>
  </w:style>
  <w:style w:type="paragraph" w:styleId="Prrafodelista">
    <w:name w:val="List Paragraph"/>
    <w:aliases w:val="TEX_03,ANEXO PLANOS,Cuadro 2-1,Titulo 1,TITULO A,Párrafo de Lista,TITUL,Iz - Párrafo de lista,Sivsa Parrafo,List Paragraph,Fundamentacion,Lista vistosa - Énfasis 11,paul2,Conclusiones,Párrafo de lista2"/>
    <w:basedOn w:val="Normal"/>
    <w:link w:val="PrrafodelistaCar"/>
    <w:uiPriority w:val="34"/>
    <w:qFormat/>
    <w:rsid w:val="00071BD2"/>
    <w:pPr>
      <w:ind w:left="720"/>
      <w:contextualSpacing/>
    </w:pPr>
  </w:style>
  <w:style w:type="paragraph" w:customStyle="1" w:styleId="Default">
    <w:name w:val="Default"/>
    <w:rsid w:val="00432C7C"/>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432C7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F65A24"/>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rsid w:val="003179D2"/>
    <w:rPr>
      <w:rFonts w:asciiTheme="majorHAnsi" w:eastAsiaTheme="majorEastAsia" w:hAnsiTheme="majorHAnsi" w:cstheme="majorBidi"/>
      <w:color w:val="2F5496" w:themeColor="accent1" w:themeShade="BF"/>
      <w:sz w:val="26"/>
      <w:szCs w:val="26"/>
    </w:rPr>
  </w:style>
  <w:style w:type="character" w:styleId="Refdenotaalpie">
    <w:name w:val="footnote reference"/>
    <w:aliases w:val="referencia nota al pie,Texto de nota al pie,Ref. de nota al pie2,Ref,de nota al pie,Appel note de bas de p,fr,Used by Word for Help footnote symbols,de nota al pi,Massilia Footnote Reference,Massilia Footnote Referen,16 Point,ftref"/>
    <w:uiPriority w:val="99"/>
    <w:unhideWhenUsed/>
    <w:qFormat/>
    <w:rsid w:val="003179D2"/>
    <w:rPr>
      <w:vertAlign w:val="superscript"/>
    </w:rPr>
  </w:style>
  <w:style w:type="paragraph" w:styleId="Textonotapie">
    <w:name w:val="footnote text"/>
    <w:aliases w:val=" Car Car Car, Car Car Car Car Car Car, Car Car Car Car, Car,Car,Car Car Car,Car Car Car Car Car Car,Car Car Car Car, Car Car Car Car Car Car Car Car Car Car Car Car Car Car,Car Car Car Car Car Car Car Car Car Car Car Car Car Car, Car Car1"/>
    <w:basedOn w:val="Normal"/>
    <w:link w:val="TextonotapieCar"/>
    <w:uiPriority w:val="99"/>
    <w:unhideWhenUsed/>
    <w:rsid w:val="003179D2"/>
    <w:pPr>
      <w:spacing w:after="0" w:line="240" w:lineRule="auto"/>
    </w:pPr>
    <w:rPr>
      <w:sz w:val="20"/>
      <w:szCs w:val="20"/>
    </w:rPr>
  </w:style>
  <w:style w:type="character" w:customStyle="1" w:styleId="TextonotapieCar">
    <w:name w:val="Texto nota pie Car"/>
    <w:aliases w:val=" Car Car Car Car1, Car Car Car Car Car Car Car, Car Car Car Car Car, Car Car,Car Car,Car Car Car Car1,Car Car Car Car Car Car Car,Car Car Car Car Car, Car Car Car Car Car Car Car Car Car Car Car Car Car Car Car, Car Car1 Car"/>
    <w:basedOn w:val="Fuentedeprrafopredeter"/>
    <w:link w:val="Textonotapie"/>
    <w:uiPriority w:val="99"/>
    <w:rsid w:val="003179D2"/>
    <w:rPr>
      <w:sz w:val="20"/>
      <w:szCs w:val="20"/>
    </w:rPr>
  </w:style>
  <w:style w:type="character" w:customStyle="1" w:styleId="PrrafodelistaCar">
    <w:name w:val="Párrafo de lista Car"/>
    <w:aliases w:val="TEX_03 Car,ANEXO PLANOS Car,Cuadro 2-1 Car,Titulo 1 Car,TITULO A Car,Párrafo de Lista Car,TITUL Car,Iz - Párrafo de lista Car,Sivsa Parrafo Car,List Paragraph Car,Fundamentacion Car,Lista vistosa - Énfasis 11 Car,paul2 Car"/>
    <w:link w:val="Prrafodelista"/>
    <w:uiPriority w:val="34"/>
    <w:rsid w:val="003179D2"/>
  </w:style>
  <w:style w:type="paragraph" w:styleId="Textodeglobo">
    <w:name w:val="Balloon Text"/>
    <w:basedOn w:val="Normal"/>
    <w:link w:val="TextodegloboCar"/>
    <w:uiPriority w:val="99"/>
    <w:semiHidden/>
    <w:unhideWhenUsed/>
    <w:rsid w:val="001B0E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E3C"/>
    <w:rPr>
      <w:rFonts w:ascii="Tahoma" w:hAnsi="Tahoma" w:cs="Tahoma"/>
      <w:sz w:val="16"/>
      <w:szCs w:val="16"/>
    </w:rPr>
  </w:style>
  <w:style w:type="table" w:customStyle="1" w:styleId="Tabladecuadrcula41">
    <w:name w:val="Tabla de cuadrícula 41"/>
    <w:basedOn w:val="Tablanormal"/>
    <w:uiPriority w:val="49"/>
    <w:rsid w:val="00A31DC9"/>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
    <w:name w:val="Table Grid"/>
    <w:basedOn w:val="Tablanormal"/>
    <w:uiPriority w:val="39"/>
    <w:rsid w:val="006B3C5B"/>
    <w:pPr>
      <w:spacing w:after="0" w:line="240" w:lineRule="auto"/>
    </w:pPr>
    <w:rPr>
      <w:rFonts w:eastAsia="Yu Mincho"/>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B3C5B"/>
    <w:rPr>
      <w:sz w:val="16"/>
      <w:szCs w:val="16"/>
    </w:rPr>
  </w:style>
  <w:style w:type="paragraph" w:styleId="Textocomentario">
    <w:name w:val="annotation text"/>
    <w:basedOn w:val="Normal"/>
    <w:link w:val="TextocomentarioCar"/>
    <w:uiPriority w:val="99"/>
    <w:unhideWhenUsed/>
    <w:rsid w:val="006B3C5B"/>
    <w:pPr>
      <w:spacing w:line="240" w:lineRule="auto"/>
    </w:pPr>
    <w:rPr>
      <w:rFonts w:eastAsia="Yu Mincho"/>
      <w:sz w:val="20"/>
      <w:szCs w:val="20"/>
      <w:lang w:eastAsia="es-PE"/>
    </w:rPr>
  </w:style>
  <w:style w:type="character" w:customStyle="1" w:styleId="TextocomentarioCar">
    <w:name w:val="Texto comentario Car"/>
    <w:basedOn w:val="Fuentedeprrafopredeter"/>
    <w:link w:val="Textocomentario"/>
    <w:uiPriority w:val="99"/>
    <w:rsid w:val="006B3C5B"/>
    <w:rPr>
      <w:rFonts w:eastAsia="Yu Mincho"/>
      <w:sz w:val="20"/>
      <w:szCs w:val="20"/>
      <w:lang w:eastAsia="es-PE"/>
    </w:rPr>
  </w:style>
  <w:style w:type="table" w:customStyle="1" w:styleId="Tablaconcuadrcula1">
    <w:name w:val="Tabla con cuadrícula1"/>
    <w:basedOn w:val="Tablanormal"/>
    <w:next w:val="Tablaconcuadrcula"/>
    <w:uiPriority w:val="39"/>
    <w:rsid w:val="006B3C5B"/>
    <w:pPr>
      <w:spacing w:after="0" w:line="240" w:lineRule="auto"/>
    </w:pPr>
    <w:rPr>
      <w:rFonts w:eastAsia="Yu Mincho"/>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4068B"/>
    <w:pPr>
      <w:spacing w:after="0" w:line="240" w:lineRule="auto"/>
    </w:pPr>
    <w:rPr>
      <w:rFonts w:eastAsia="Yu Mincho"/>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F5C"/>
  </w:style>
  <w:style w:type="paragraph" w:styleId="Piedepgina">
    <w:name w:val="footer"/>
    <w:basedOn w:val="Normal"/>
    <w:link w:val="PiedepginaCar"/>
    <w:uiPriority w:val="99"/>
    <w:unhideWhenUsed/>
    <w:rsid w:val="0004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4093">
      <w:bodyDiv w:val="1"/>
      <w:marLeft w:val="0"/>
      <w:marRight w:val="0"/>
      <w:marTop w:val="0"/>
      <w:marBottom w:val="0"/>
      <w:divBdr>
        <w:top w:val="none" w:sz="0" w:space="0" w:color="auto"/>
        <w:left w:val="none" w:sz="0" w:space="0" w:color="auto"/>
        <w:bottom w:val="none" w:sz="0" w:space="0" w:color="auto"/>
        <w:right w:val="none" w:sz="0" w:space="0" w:color="auto"/>
      </w:divBdr>
    </w:div>
    <w:div w:id="86384487">
      <w:bodyDiv w:val="1"/>
      <w:marLeft w:val="0"/>
      <w:marRight w:val="0"/>
      <w:marTop w:val="0"/>
      <w:marBottom w:val="0"/>
      <w:divBdr>
        <w:top w:val="none" w:sz="0" w:space="0" w:color="auto"/>
        <w:left w:val="none" w:sz="0" w:space="0" w:color="auto"/>
        <w:bottom w:val="none" w:sz="0" w:space="0" w:color="auto"/>
        <w:right w:val="none" w:sz="0" w:space="0" w:color="auto"/>
      </w:divBdr>
    </w:div>
    <w:div w:id="413359187">
      <w:bodyDiv w:val="1"/>
      <w:marLeft w:val="0"/>
      <w:marRight w:val="0"/>
      <w:marTop w:val="0"/>
      <w:marBottom w:val="0"/>
      <w:divBdr>
        <w:top w:val="none" w:sz="0" w:space="0" w:color="auto"/>
        <w:left w:val="none" w:sz="0" w:space="0" w:color="auto"/>
        <w:bottom w:val="none" w:sz="0" w:space="0" w:color="auto"/>
        <w:right w:val="none" w:sz="0" w:space="0" w:color="auto"/>
      </w:divBdr>
      <w:divsChild>
        <w:div w:id="73861792">
          <w:marLeft w:val="547"/>
          <w:marRight w:val="0"/>
          <w:marTop w:val="86"/>
          <w:marBottom w:val="0"/>
          <w:divBdr>
            <w:top w:val="none" w:sz="0" w:space="0" w:color="auto"/>
            <w:left w:val="none" w:sz="0" w:space="0" w:color="auto"/>
            <w:bottom w:val="none" w:sz="0" w:space="0" w:color="auto"/>
            <w:right w:val="none" w:sz="0" w:space="0" w:color="auto"/>
          </w:divBdr>
        </w:div>
        <w:div w:id="514807672">
          <w:marLeft w:val="547"/>
          <w:marRight w:val="0"/>
          <w:marTop w:val="86"/>
          <w:marBottom w:val="0"/>
          <w:divBdr>
            <w:top w:val="none" w:sz="0" w:space="0" w:color="auto"/>
            <w:left w:val="none" w:sz="0" w:space="0" w:color="auto"/>
            <w:bottom w:val="none" w:sz="0" w:space="0" w:color="auto"/>
            <w:right w:val="none" w:sz="0" w:space="0" w:color="auto"/>
          </w:divBdr>
        </w:div>
        <w:div w:id="745154731">
          <w:marLeft w:val="547"/>
          <w:marRight w:val="0"/>
          <w:marTop w:val="86"/>
          <w:marBottom w:val="0"/>
          <w:divBdr>
            <w:top w:val="none" w:sz="0" w:space="0" w:color="auto"/>
            <w:left w:val="none" w:sz="0" w:space="0" w:color="auto"/>
            <w:bottom w:val="none" w:sz="0" w:space="0" w:color="auto"/>
            <w:right w:val="none" w:sz="0" w:space="0" w:color="auto"/>
          </w:divBdr>
        </w:div>
        <w:div w:id="885222783">
          <w:marLeft w:val="547"/>
          <w:marRight w:val="0"/>
          <w:marTop w:val="86"/>
          <w:marBottom w:val="0"/>
          <w:divBdr>
            <w:top w:val="none" w:sz="0" w:space="0" w:color="auto"/>
            <w:left w:val="none" w:sz="0" w:space="0" w:color="auto"/>
            <w:bottom w:val="none" w:sz="0" w:space="0" w:color="auto"/>
            <w:right w:val="none" w:sz="0" w:space="0" w:color="auto"/>
          </w:divBdr>
        </w:div>
        <w:div w:id="1158036985">
          <w:marLeft w:val="547"/>
          <w:marRight w:val="0"/>
          <w:marTop w:val="86"/>
          <w:marBottom w:val="0"/>
          <w:divBdr>
            <w:top w:val="none" w:sz="0" w:space="0" w:color="auto"/>
            <w:left w:val="none" w:sz="0" w:space="0" w:color="auto"/>
            <w:bottom w:val="none" w:sz="0" w:space="0" w:color="auto"/>
            <w:right w:val="none" w:sz="0" w:space="0" w:color="auto"/>
          </w:divBdr>
        </w:div>
        <w:div w:id="1250887354">
          <w:marLeft w:val="547"/>
          <w:marRight w:val="0"/>
          <w:marTop w:val="86"/>
          <w:marBottom w:val="0"/>
          <w:divBdr>
            <w:top w:val="none" w:sz="0" w:space="0" w:color="auto"/>
            <w:left w:val="none" w:sz="0" w:space="0" w:color="auto"/>
            <w:bottom w:val="none" w:sz="0" w:space="0" w:color="auto"/>
            <w:right w:val="none" w:sz="0" w:space="0" w:color="auto"/>
          </w:divBdr>
        </w:div>
        <w:div w:id="1683437602">
          <w:marLeft w:val="547"/>
          <w:marRight w:val="0"/>
          <w:marTop w:val="86"/>
          <w:marBottom w:val="0"/>
          <w:divBdr>
            <w:top w:val="none" w:sz="0" w:space="0" w:color="auto"/>
            <w:left w:val="none" w:sz="0" w:space="0" w:color="auto"/>
            <w:bottom w:val="none" w:sz="0" w:space="0" w:color="auto"/>
            <w:right w:val="none" w:sz="0" w:space="0" w:color="auto"/>
          </w:divBdr>
        </w:div>
        <w:div w:id="1740790549">
          <w:marLeft w:val="547"/>
          <w:marRight w:val="0"/>
          <w:marTop w:val="86"/>
          <w:marBottom w:val="0"/>
          <w:divBdr>
            <w:top w:val="none" w:sz="0" w:space="0" w:color="auto"/>
            <w:left w:val="none" w:sz="0" w:space="0" w:color="auto"/>
            <w:bottom w:val="none" w:sz="0" w:space="0" w:color="auto"/>
            <w:right w:val="none" w:sz="0" w:space="0" w:color="auto"/>
          </w:divBdr>
        </w:div>
        <w:div w:id="1851334118">
          <w:marLeft w:val="547"/>
          <w:marRight w:val="0"/>
          <w:marTop w:val="86"/>
          <w:marBottom w:val="0"/>
          <w:divBdr>
            <w:top w:val="none" w:sz="0" w:space="0" w:color="auto"/>
            <w:left w:val="none" w:sz="0" w:space="0" w:color="auto"/>
            <w:bottom w:val="none" w:sz="0" w:space="0" w:color="auto"/>
            <w:right w:val="none" w:sz="0" w:space="0" w:color="auto"/>
          </w:divBdr>
        </w:div>
        <w:div w:id="1866942214">
          <w:marLeft w:val="547"/>
          <w:marRight w:val="0"/>
          <w:marTop w:val="86"/>
          <w:marBottom w:val="0"/>
          <w:divBdr>
            <w:top w:val="none" w:sz="0" w:space="0" w:color="auto"/>
            <w:left w:val="none" w:sz="0" w:space="0" w:color="auto"/>
            <w:bottom w:val="none" w:sz="0" w:space="0" w:color="auto"/>
            <w:right w:val="none" w:sz="0" w:space="0" w:color="auto"/>
          </w:divBdr>
        </w:div>
        <w:div w:id="1933850536">
          <w:marLeft w:val="547"/>
          <w:marRight w:val="0"/>
          <w:marTop w:val="86"/>
          <w:marBottom w:val="0"/>
          <w:divBdr>
            <w:top w:val="none" w:sz="0" w:space="0" w:color="auto"/>
            <w:left w:val="none" w:sz="0" w:space="0" w:color="auto"/>
            <w:bottom w:val="none" w:sz="0" w:space="0" w:color="auto"/>
            <w:right w:val="none" w:sz="0" w:space="0" w:color="auto"/>
          </w:divBdr>
        </w:div>
        <w:div w:id="1980498699">
          <w:marLeft w:val="547"/>
          <w:marRight w:val="0"/>
          <w:marTop w:val="86"/>
          <w:marBottom w:val="0"/>
          <w:divBdr>
            <w:top w:val="none" w:sz="0" w:space="0" w:color="auto"/>
            <w:left w:val="none" w:sz="0" w:space="0" w:color="auto"/>
            <w:bottom w:val="none" w:sz="0" w:space="0" w:color="auto"/>
            <w:right w:val="none" w:sz="0" w:space="0" w:color="auto"/>
          </w:divBdr>
        </w:div>
      </w:divsChild>
    </w:div>
    <w:div w:id="548540629">
      <w:bodyDiv w:val="1"/>
      <w:marLeft w:val="0"/>
      <w:marRight w:val="0"/>
      <w:marTop w:val="0"/>
      <w:marBottom w:val="0"/>
      <w:divBdr>
        <w:top w:val="none" w:sz="0" w:space="0" w:color="auto"/>
        <w:left w:val="none" w:sz="0" w:space="0" w:color="auto"/>
        <w:bottom w:val="none" w:sz="0" w:space="0" w:color="auto"/>
        <w:right w:val="none" w:sz="0" w:space="0" w:color="auto"/>
      </w:divBdr>
      <w:divsChild>
        <w:div w:id="18509218">
          <w:marLeft w:val="446"/>
          <w:marRight w:val="0"/>
          <w:marTop w:val="0"/>
          <w:marBottom w:val="0"/>
          <w:divBdr>
            <w:top w:val="none" w:sz="0" w:space="0" w:color="auto"/>
            <w:left w:val="none" w:sz="0" w:space="0" w:color="auto"/>
            <w:bottom w:val="none" w:sz="0" w:space="0" w:color="auto"/>
            <w:right w:val="none" w:sz="0" w:space="0" w:color="auto"/>
          </w:divBdr>
        </w:div>
        <w:div w:id="520436994">
          <w:marLeft w:val="446"/>
          <w:marRight w:val="0"/>
          <w:marTop w:val="0"/>
          <w:marBottom w:val="0"/>
          <w:divBdr>
            <w:top w:val="none" w:sz="0" w:space="0" w:color="auto"/>
            <w:left w:val="none" w:sz="0" w:space="0" w:color="auto"/>
            <w:bottom w:val="none" w:sz="0" w:space="0" w:color="auto"/>
            <w:right w:val="none" w:sz="0" w:space="0" w:color="auto"/>
          </w:divBdr>
        </w:div>
        <w:div w:id="620308412">
          <w:marLeft w:val="446"/>
          <w:marRight w:val="0"/>
          <w:marTop w:val="0"/>
          <w:marBottom w:val="0"/>
          <w:divBdr>
            <w:top w:val="none" w:sz="0" w:space="0" w:color="auto"/>
            <w:left w:val="none" w:sz="0" w:space="0" w:color="auto"/>
            <w:bottom w:val="none" w:sz="0" w:space="0" w:color="auto"/>
            <w:right w:val="none" w:sz="0" w:space="0" w:color="auto"/>
          </w:divBdr>
        </w:div>
        <w:div w:id="691496116">
          <w:marLeft w:val="446"/>
          <w:marRight w:val="0"/>
          <w:marTop w:val="0"/>
          <w:marBottom w:val="0"/>
          <w:divBdr>
            <w:top w:val="none" w:sz="0" w:space="0" w:color="auto"/>
            <w:left w:val="none" w:sz="0" w:space="0" w:color="auto"/>
            <w:bottom w:val="none" w:sz="0" w:space="0" w:color="auto"/>
            <w:right w:val="none" w:sz="0" w:space="0" w:color="auto"/>
          </w:divBdr>
        </w:div>
        <w:div w:id="740449781">
          <w:marLeft w:val="446"/>
          <w:marRight w:val="0"/>
          <w:marTop w:val="0"/>
          <w:marBottom w:val="0"/>
          <w:divBdr>
            <w:top w:val="none" w:sz="0" w:space="0" w:color="auto"/>
            <w:left w:val="none" w:sz="0" w:space="0" w:color="auto"/>
            <w:bottom w:val="none" w:sz="0" w:space="0" w:color="auto"/>
            <w:right w:val="none" w:sz="0" w:space="0" w:color="auto"/>
          </w:divBdr>
        </w:div>
        <w:div w:id="1318344482">
          <w:marLeft w:val="446"/>
          <w:marRight w:val="0"/>
          <w:marTop w:val="0"/>
          <w:marBottom w:val="0"/>
          <w:divBdr>
            <w:top w:val="none" w:sz="0" w:space="0" w:color="auto"/>
            <w:left w:val="none" w:sz="0" w:space="0" w:color="auto"/>
            <w:bottom w:val="none" w:sz="0" w:space="0" w:color="auto"/>
            <w:right w:val="none" w:sz="0" w:space="0" w:color="auto"/>
          </w:divBdr>
        </w:div>
        <w:div w:id="1457599437">
          <w:marLeft w:val="446"/>
          <w:marRight w:val="0"/>
          <w:marTop w:val="0"/>
          <w:marBottom w:val="0"/>
          <w:divBdr>
            <w:top w:val="none" w:sz="0" w:space="0" w:color="auto"/>
            <w:left w:val="none" w:sz="0" w:space="0" w:color="auto"/>
            <w:bottom w:val="none" w:sz="0" w:space="0" w:color="auto"/>
            <w:right w:val="none" w:sz="0" w:space="0" w:color="auto"/>
          </w:divBdr>
        </w:div>
        <w:div w:id="1690373603">
          <w:marLeft w:val="446"/>
          <w:marRight w:val="0"/>
          <w:marTop w:val="0"/>
          <w:marBottom w:val="0"/>
          <w:divBdr>
            <w:top w:val="none" w:sz="0" w:space="0" w:color="auto"/>
            <w:left w:val="none" w:sz="0" w:space="0" w:color="auto"/>
            <w:bottom w:val="none" w:sz="0" w:space="0" w:color="auto"/>
            <w:right w:val="none" w:sz="0" w:space="0" w:color="auto"/>
          </w:divBdr>
        </w:div>
      </w:divsChild>
    </w:div>
    <w:div w:id="1729378440">
      <w:bodyDiv w:val="1"/>
      <w:marLeft w:val="0"/>
      <w:marRight w:val="0"/>
      <w:marTop w:val="0"/>
      <w:marBottom w:val="0"/>
      <w:divBdr>
        <w:top w:val="none" w:sz="0" w:space="0" w:color="auto"/>
        <w:left w:val="none" w:sz="0" w:space="0" w:color="auto"/>
        <w:bottom w:val="none" w:sz="0" w:space="0" w:color="auto"/>
        <w:right w:val="none" w:sz="0" w:space="0" w:color="auto"/>
      </w:divBdr>
    </w:div>
    <w:div w:id="1752384177">
      <w:bodyDiv w:val="1"/>
      <w:marLeft w:val="0"/>
      <w:marRight w:val="0"/>
      <w:marTop w:val="0"/>
      <w:marBottom w:val="0"/>
      <w:divBdr>
        <w:top w:val="none" w:sz="0" w:space="0" w:color="auto"/>
        <w:left w:val="none" w:sz="0" w:space="0" w:color="auto"/>
        <w:bottom w:val="none" w:sz="0" w:space="0" w:color="auto"/>
        <w:right w:val="none" w:sz="0" w:space="0" w:color="auto"/>
      </w:divBdr>
    </w:div>
    <w:div w:id="1989049785">
      <w:bodyDiv w:val="1"/>
      <w:marLeft w:val="0"/>
      <w:marRight w:val="0"/>
      <w:marTop w:val="0"/>
      <w:marBottom w:val="0"/>
      <w:divBdr>
        <w:top w:val="none" w:sz="0" w:space="0" w:color="auto"/>
        <w:left w:val="none" w:sz="0" w:space="0" w:color="auto"/>
        <w:bottom w:val="none" w:sz="0" w:space="0" w:color="auto"/>
        <w:right w:val="none" w:sz="0" w:space="0" w:color="auto"/>
      </w:divBdr>
    </w:div>
    <w:div w:id="21457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Hoja1!$B$1</c:f>
              <c:strCache>
                <c:ptCount val="1"/>
                <c:pt idx="0">
                  <c:v>Producción</c:v>
                </c:pt>
              </c:strCache>
            </c:strRef>
          </c:tx>
          <c:spPr>
            <a:ln w="28571" cap="rnd" cmpd="sng" algn="ctr">
              <a:solidFill>
                <a:srgbClr val="002060"/>
              </a:solidFill>
              <a:round/>
            </a:ln>
            <a:effectLst/>
          </c:spPr>
          <c:marker>
            <c:symbol val="circle"/>
            <c:size val="6"/>
            <c:spPr>
              <a:solidFill>
                <a:sysClr val="window" lastClr="FFFFFF"/>
              </a:solidFill>
              <a:ln>
                <a:solidFill>
                  <a:srgbClr val="002060"/>
                </a:solidFill>
              </a:ln>
            </c:spPr>
          </c:marker>
          <c:dLbls>
            <c:delete val="1"/>
          </c:dLbls>
          <c:cat>
            <c:numRef>
              <c:f>Hoja1!$A$2:$A$20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Hoja1!$B$2:$B$20</c:f>
              <c:numCache>
                <c:formatCode>General</c:formatCode>
                <c:ptCount val="19"/>
                <c:pt idx="0">
                  <c:v>132.59</c:v>
                </c:pt>
                <c:pt idx="1">
                  <c:v>128.52000000000001</c:v>
                </c:pt>
                <c:pt idx="2">
                  <c:v>157.53</c:v>
                </c:pt>
                <c:pt idx="3">
                  <c:v>172.63</c:v>
                </c:pt>
                <c:pt idx="4">
                  <c:v>173.22</c:v>
                </c:pt>
                <c:pt idx="5">
                  <c:v>208</c:v>
                </c:pt>
                <c:pt idx="6">
                  <c:v>202.83</c:v>
                </c:pt>
                <c:pt idx="7">
                  <c:v>170.24</c:v>
                </c:pt>
                <c:pt idx="8">
                  <c:v>179.87</c:v>
                </c:pt>
                <c:pt idx="9">
                  <c:v>183.99</c:v>
                </c:pt>
                <c:pt idx="10">
                  <c:v>164.08</c:v>
                </c:pt>
                <c:pt idx="11">
                  <c:v>166.19</c:v>
                </c:pt>
                <c:pt idx="12">
                  <c:v>161.54</c:v>
                </c:pt>
                <c:pt idx="13">
                  <c:v>151.49</c:v>
                </c:pt>
                <c:pt idx="14">
                  <c:v>140.1</c:v>
                </c:pt>
                <c:pt idx="15">
                  <c:v>146.82</c:v>
                </c:pt>
                <c:pt idx="16">
                  <c:v>153.01</c:v>
                </c:pt>
                <c:pt idx="17">
                  <c:v>151.96</c:v>
                </c:pt>
                <c:pt idx="18">
                  <c:v>142.63999999999999</c:v>
                </c:pt>
              </c:numCache>
            </c:numRef>
          </c:val>
          <c:smooth val="0"/>
          <c:extLst>
            <c:ext xmlns:c16="http://schemas.microsoft.com/office/drawing/2014/chart" uri="{C3380CC4-5D6E-409C-BE32-E72D297353CC}">
              <c16:uniqueId val="{00000000-48AC-4949-B56D-0809725DEA62}"/>
            </c:ext>
          </c:extLst>
        </c:ser>
        <c:ser>
          <c:idx val="1"/>
          <c:order val="1"/>
          <c:tx>
            <c:strRef>
              <c:f>Hoja1!$C$1</c:f>
              <c:strCache>
                <c:ptCount val="1"/>
                <c:pt idx="0">
                  <c:v>Exportación</c:v>
                </c:pt>
              </c:strCache>
            </c:strRef>
          </c:tx>
          <c:spPr>
            <a:ln>
              <a:solidFill>
                <a:srgbClr val="C00000"/>
              </a:solidFill>
            </a:ln>
          </c:spPr>
          <c:marker>
            <c:spPr>
              <a:solidFill>
                <a:srgbClr val="C00000"/>
              </a:solidFill>
              <a:ln>
                <a:solidFill>
                  <a:srgbClr val="C00000"/>
                </a:solidFill>
              </a:ln>
            </c:spPr>
          </c:marker>
          <c:dLbls>
            <c:delete val="1"/>
          </c:dLbls>
          <c:cat>
            <c:numRef>
              <c:f>Hoja1!$A$2:$A$20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Hoja1!$C$2:$C$20</c:f>
              <c:numCache>
                <c:formatCode>General</c:formatCode>
                <c:ptCount val="19"/>
                <c:pt idx="0">
                  <c:v>126.99</c:v>
                </c:pt>
                <c:pt idx="1">
                  <c:v>133.57</c:v>
                </c:pt>
                <c:pt idx="2">
                  <c:v>147.75</c:v>
                </c:pt>
                <c:pt idx="3">
                  <c:v>179.68</c:v>
                </c:pt>
                <c:pt idx="4">
                  <c:v>185.24</c:v>
                </c:pt>
                <c:pt idx="5">
                  <c:v>213.86</c:v>
                </c:pt>
                <c:pt idx="6">
                  <c:v>207.58</c:v>
                </c:pt>
                <c:pt idx="7">
                  <c:v>185.61</c:v>
                </c:pt>
                <c:pt idx="8">
                  <c:v>199.61</c:v>
                </c:pt>
                <c:pt idx="9">
                  <c:v>216.86</c:v>
                </c:pt>
                <c:pt idx="10">
                  <c:v>197.03</c:v>
                </c:pt>
                <c:pt idx="11">
                  <c:v>201.93</c:v>
                </c:pt>
                <c:pt idx="12">
                  <c:v>199.9</c:v>
                </c:pt>
                <c:pt idx="13">
                  <c:v>188.09</c:v>
                </c:pt>
                <c:pt idx="14">
                  <c:v>165.58</c:v>
                </c:pt>
                <c:pt idx="15">
                  <c:v>178.65</c:v>
                </c:pt>
                <c:pt idx="16">
                  <c:v>184.65</c:v>
                </c:pt>
                <c:pt idx="17">
                  <c:v>201.97</c:v>
                </c:pt>
                <c:pt idx="18">
                  <c:v>202.12</c:v>
                </c:pt>
              </c:numCache>
            </c:numRef>
          </c:val>
          <c:smooth val="0"/>
          <c:extLst>
            <c:ext xmlns:c16="http://schemas.microsoft.com/office/drawing/2014/chart" uri="{C3380CC4-5D6E-409C-BE32-E72D297353CC}">
              <c16:uniqueId val="{00000001-48AC-4949-B56D-0809725DEA62}"/>
            </c:ext>
          </c:extLst>
        </c:ser>
        <c:ser>
          <c:idx val="2"/>
          <c:order val="2"/>
          <c:tx>
            <c:strRef>
              <c:f>Hoja1!$D$1</c:f>
              <c:strCache>
                <c:ptCount val="1"/>
                <c:pt idx="0">
                  <c:v>Brecha</c:v>
                </c:pt>
              </c:strCache>
            </c:strRef>
          </c:tx>
          <c:dLbls>
            <c:spPr>
              <a:noFill/>
              <a:ln>
                <a:noFill/>
              </a:ln>
              <a:effectLst/>
            </c:spPr>
            <c:txPr>
              <a:bodyPr wrap="square" lIns="38100" tIns="19050" rIns="38100" bIns="19050" anchor="ctr">
                <a:spAutoFit/>
              </a:bodyPr>
              <a:lstStyle/>
              <a:p>
                <a:pPr>
                  <a:defRPr sz="700"/>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Hoja1!$A$2:$A$20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Hoja1!$D$2:$D$20</c:f>
              <c:numCache>
                <c:formatCode>General</c:formatCode>
                <c:ptCount val="19"/>
                <c:pt idx="0">
                  <c:v>-5.6000000000000085</c:v>
                </c:pt>
                <c:pt idx="1">
                  <c:v>5.0499999999999829</c:v>
                </c:pt>
                <c:pt idx="2">
                  <c:v>-9.7800000000000011</c:v>
                </c:pt>
                <c:pt idx="3">
                  <c:v>7.0500000000000114</c:v>
                </c:pt>
                <c:pt idx="4">
                  <c:v>12.02000000000001</c:v>
                </c:pt>
                <c:pt idx="5">
                  <c:v>5.8600000000000136</c:v>
                </c:pt>
                <c:pt idx="6">
                  <c:v>4.75</c:v>
                </c:pt>
                <c:pt idx="7">
                  <c:v>15.370000000000005</c:v>
                </c:pt>
                <c:pt idx="8">
                  <c:v>19.740000000000009</c:v>
                </c:pt>
                <c:pt idx="9">
                  <c:v>32.870000000000005</c:v>
                </c:pt>
                <c:pt idx="10">
                  <c:v>32.949999999999989</c:v>
                </c:pt>
                <c:pt idx="11">
                  <c:v>35.740000000000009</c:v>
                </c:pt>
                <c:pt idx="12">
                  <c:v>38.360000000000014</c:v>
                </c:pt>
                <c:pt idx="13">
                  <c:v>36.599999999999994</c:v>
                </c:pt>
                <c:pt idx="14">
                  <c:v>25.480000000000018</c:v>
                </c:pt>
                <c:pt idx="15">
                  <c:v>31.830000000000013</c:v>
                </c:pt>
                <c:pt idx="16">
                  <c:v>31.640000000000015</c:v>
                </c:pt>
                <c:pt idx="17">
                  <c:v>50.009999999999991</c:v>
                </c:pt>
                <c:pt idx="18">
                  <c:v>59.480000000000018</c:v>
                </c:pt>
              </c:numCache>
            </c:numRef>
          </c:val>
          <c:smooth val="0"/>
          <c:extLst>
            <c:ext xmlns:c16="http://schemas.microsoft.com/office/drawing/2014/chart" uri="{C3380CC4-5D6E-409C-BE32-E72D297353CC}">
              <c16:uniqueId val="{00000002-48AC-4949-B56D-0809725DEA62}"/>
            </c:ext>
          </c:extLst>
        </c:ser>
        <c:dLbls>
          <c:dLblPos val="t"/>
          <c:showLegendKey val="0"/>
          <c:showVal val="1"/>
          <c:showCatName val="0"/>
          <c:showSerName val="0"/>
          <c:showPercent val="0"/>
          <c:showBubbleSize val="0"/>
        </c:dLbls>
        <c:marker val="1"/>
        <c:smooth val="0"/>
        <c:axId val="473550848"/>
        <c:axId val="473555328"/>
      </c:lineChart>
      <c:catAx>
        <c:axId val="473550848"/>
        <c:scaling>
          <c:orientation val="minMax"/>
        </c:scaling>
        <c:delete val="0"/>
        <c:axPos val="b"/>
        <c:numFmt formatCode="General" sourceLinked="1"/>
        <c:majorTickMark val="none"/>
        <c:minorTickMark val="none"/>
        <c:tickLblPos val="nextTo"/>
        <c:spPr>
          <a:noFill/>
          <a:ln w="9524"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ES"/>
          </a:p>
        </c:txPr>
        <c:crossAx val="473555328"/>
        <c:crosses val="autoZero"/>
        <c:auto val="1"/>
        <c:lblAlgn val="ctr"/>
        <c:lblOffset val="100"/>
        <c:noMultiLvlLbl val="0"/>
      </c:catAx>
      <c:valAx>
        <c:axId val="473555328"/>
        <c:scaling>
          <c:orientation val="minMax"/>
        </c:scaling>
        <c:delete val="1"/>
        <c:axPos val="l"/>
        <c:numFmt formatCode="General" sourceLinked="1"/>
        <c:majorTickMark val="out"/>
        <c:minorTickMark val="none"/>
        <c:tickLblPos val="nextTo"/>
        <c:crossAx val="473550848"/>
        <c:crosses val="autoZero"/>
        <c:crossBetween val="between"/>
      </c:valAx>
      <c:spPr>
        <a:noFill/>
        <a:ln w="25396">
          <a:noFill/>
        </a:ln>
      </c:spPr>
    </c:plotArea>
    <c:legend>
      <c:legendPos val="b"/>
      <c:overlay val="0"/>
    </c:legend>
    <c:plotVisOnly val="1"/>
    <c:dispBlanksAs val="gap"/>
    <c:showDLblsOverMax val="0"/>
  </c:chart>
  <c:spPr>
    <a:solidFill>
      <a:schemeClr val="lt1"/>
    </a:solidFill>
    <a:ln>
      <a:noFill/>
    </a:ln>
    <a:effectLst/>
  </c:spPr>
  <c:txPr>
    <a:bodyPr/>
    <a:lstStyle/>
    <a:p>
      <a:pPr>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C1E8F-A090-4B73-BC5C-F1282551232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6643</Words>
  <Characters>36537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RIVERA MUGUERZA</dc:creator>
  <cp:lastModifiedBy>Dario</cp:lastModifiedBy>
  <cp:revision>2</cp:revision>
  <dcterms:created xsi:type="dcterms:W3CDTF">2021-06-30T14:08:00Z</dcterms:created>
  <dcterms:modified xsi:type="dcterms:W3CDTF">2021-06-30T14:08:00Z</dcterms:modified>
</cp:coreProperties>
</file>