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52B" w:rsidRPr="003D2A4F" w:rsidRDefault="0037652B" w:rsidP="003D2A4F">
      <w:pPr>
        <w:spacing w:after="0" w:line="280" w:lineRule="exact"/>
        <w:jc w:val="center"/>
        <w:rPr>
          <w:b/>
          <w:sz w:val="20"/>
          <w:szCs w:val="20"/>
        </w:rPr>
      </w:pPr>
      <w:r w:rsidRPr="003D2A4F">
        <w:rPr>
          <w:b/>
          <w:sz w:val="20"/>
          <w:szCs w:val="20"/>
        </w:rPr>
        <w:t>EXPOSICIÓN DE MOTIVOS</w:t>
      </w:r>
    </w:p>
    <w:p w:rsidR="00B1474C" w:rsidRPr="003D2A4F" w:rsidRDefault="00B1474C" w:rsidP="003D2A4F">
      <w:pPr>
        <w:spacing w:after="0" w:line="280" w:lineRule="exact"/>
        <w:jc w:val="center"/>
        <w:rPr>
          <w:b/>
          <w:sz w:val="20"/>
          <w:szCs w:val="20"/>
        </w:rPr>
      </w:pPr>
      <w:r w:rsidRPr="003D2A4F">
        <w:rPr>
          <w:b/>
          <w:sz w:val="20"/>
          <w:szCs w:val="20"/>
        </w:rPr>
        <w:t xml:space="preserve">DECRETO SUPREMO QUE MODIFICA </w:t>
      </w:r>
      <w:r w:rsidR="00C22E3D" w:rsidRPr="003D2A4F">
        <w:rPr>
          <w:b/>
          <w:sz w:val="20"/>
          <w:szCs w:val="20"/>
        </w:rPr>
        <w:t xml:space="preserve">LOS ARTÍCULOS 35,36, 37, 38 Y 75 ASÍ COMO LA INCLUSIÓN DEL ARTÍCULO 76 DEL </w:t>
      </w:r>
      <w:r w:rsidRPr="003D2A4F">
        <w:rPr>
          <w:rFonts w:cs="Arial"/>
          <w:b/>
          <w:sz w:val="20"/>
          <w:szCs w:val="20"/>
        </w:rPr>
        <w:t>REGLAMENTO DE PROCEDIMIENTOS MINEROS, APROBADO POR DECRETO SUPREMO N° 018-92-EM</w:t>
      </w:r>
    </w:p>
    <w:p w:rsidR="0037652B" w:rsidRPr="003D2A4F" w:rsidRDefault="0037652B" w:rsidP="003D2A4F">
      <w:pPr>
        <w:spacing w:after="0" w:line="280" w:lineRule="exact"/>
        <w:rPr>
          <w:b/>
          <w:sz w:val="20"/>
          <w:szCs w:val="20"/>
        </w:rPr>
      </w:pPr>
    </w:p>
    <w:p w:rsidR="00E7000C" w:rsidRPr="003D2A4F" w:rsidRDefault="0037652B" w:rsidP="003D2A4F">
      <w:pPr>
        <w:pStyle w:val="Prrafodelista"/>
        <w:numPr>
          <w:ilvl w:val="0"/>
          <w:numId w:val="1"/>
        </w:numPr>
        <w:tabs>
          <w:tab w:val="left" w:pos="426"/>
        </w:tabs>
        <w:spacing w:after="0" w:line="280" w:lineRule="exact"/>
        <w:rPr>
          <w:b/>
          <w:sz w:val="20"/>
          <w:szCs w:val="20"/>
          <w:u w:val="single"/>
        </w:rPr>
      </w:pPr>
      <w:r w:rsidRPr="003D2A4F">
        <w:rPr>
          <w:b/>
          <w:sz w:val="20"/>
          <w:szCs w:val="20"/>
          <w:u w:val="single"/>
        </w:rPr>
        <w:t>ANTECEDENTES</w:t>
      </w:r>
    </w:p>
    <w:p w:rsidR="0037652B" w:rsidRPr="003D2A4F" w:rsidRDefault="0037652B" w:rsidP="003D2A4F">
      <w:pPr>
        <w:tabs>
          <w:tab w:val="left" w:pos="426"/>
        </w:tabs>
        <w:spacing w:after="0" w:line="280" w:lineRule="exact"/>
        <w:ind w:left="45"/>
        <w:rPr>
          <w:b/>
          <w:sz w:val="20"/>
          <w:szCs w:val="20"/>
        </w:rPr>
      </w:pPr>
    </w:p>
    <w:p w:rsidR="00DE507C" w:rsidRPr="003D2A4F" w:rsidRDefault="00184888" w:rsidP="003D2A4F">
      <w:pPr>
        <w:pStyle w:val="Prrafodelista"/>
        <w:numPr>
          <w:ilvl w:val="1"/>
          <w:numId w:val="1"/>
        </w:numPr>
        <w:tabs>
          <w:tab w:val="left" w:pos="426"/>
        </w:tabs>
        <w:spacing w:after="0" w:line="280" w:lineRule="exact"/>
        <w:ind w:left="426" w:hanging="426"/>
        <w:jc w:val="both"/>
        <w:rPr>
          <w:sz w:val="20"/>
          <w:szCs w:val="20"/>
        </w:rPr>
      </w:pPr>
      <w:r w:rsidRPr="003D2A4F">
        <w:rPr>
          <w:sz w:val="20"/>
          <w:szCs w:val="20"/>
        </w:rPr>
        <w:t>Mediante Decreto Supremo N° 018-92-EM se aprobó el Reglamento de Procedimientos Mineros</w:t>
      </w:r>
      <w:r w:rsidR="00111CE3" w:rsidRPr="003D2A4F">
        <w:rPr>
          <w:sz w:val="20"/>
          <w:szCs w:val="20"/>
        </w:rPr>
        <w:t>, en adelante el Regl</w:t>
      </w:r>
      <w:r w:rsidR="005A081D" w:rsidRPr="003D2A4F">
        <w:rPr>
          <w:sz w:val="20"/>
          <w:szCs w:val="20"/>
        </w:rPr>
        <w:t xml:space="preserve">amento, </w:t>
      </w:r>
      <w:r w:rsidR="00904871" w:rsidRPr="003D2A4F">
        <w:rPr>
          <w:sz w:val="20"/>
          <w:szCs w:val="20"/>
        </w:rPr>
        <w:t xml:space="preserve">el cual rige la tramitación de los procedimientos mineros que siguen los </w:t>
      </w:r>
      <w:r w:rsidR="00746F32" w:rsidRPr="003D2A4F">
        <w:rPr>
          <w:sz w:val="20"/>
          <w:szCs w:val="20"/>
        </w:rPr>
        <w:t xml:space="preserve">administrados ante el Ministerio de Energía y Minas </w:t>
      </w:r>
      <w:r w:rsidR="00C529AC" w:rsidRPr="003D2A4F">
        <w:rPr>
          <w:sz w:val="20"/>
          <w:szCs w:val="20"/>
        </w:rPr>
        <w:t>contemplados en el t</w:t>
      </w:r>
      <w:r w:rsidR="00904871" w:rsidRPr="003D2A4F">
        <w:rPr>
          <w:sz w:val="20"/>
          <w:szCs w:val="20"/>
        </w:rPr>
        <w:t>ítulo décimo segundo de la Ley General de Minería, cuyo Texto Único Ordenado ha sido aprobado por el Decreto Supremo N</w:t>
      </w:r>
      <w:r w:rsidR="00346192" w:rsidRPr="003D2A4F">
        <w:rPr>
          <w:sz w:val="20"/>
          <w:szCs w:val="20"/>
        </w:rPr>
        <w:t>°</w:t>
      </w:r>
      <w:r w:rsidR="00904871" w:rsidRPr="003D2A4F">
        <w:rPr>
          <w:sz w:val="20"/>
          <w:szCs w:val="20"/>
        </w:rPr>
        <w:t xml:space="preserve"> 014-92-EM.</w:t>
      </w:r>
    </w:p>
    <w:p w:rsidR="00DE507C" w:rsidRPr="003D2A4F" w:rsidRDefault="00DE507C" w:rsidP="003D2A4F">
      <w:pPr>
        <w:spacing w:after="0" w:line="280" w:lineRule="exact"/>
        <w:rPr>
          <w:sz w:val="20"/>
          <w:szCs w:val="20"/>
        </w:rPr>
      </w:pPr>
    </w:p>
    <w:p w:rsidR="00AD3BCA" w:rsidRDefault="00AD3BCA" w:rsidP="003D2A4F">
      <w:pPr>
        <w:pStyle w:val="Prrafodelista"/>
        <w:numPr>
          <w:ilvl w:val="1"/>
          <w:numId w:val="1"/>
        </w:numPr>
        <w:tabs>
          <w:tab w:val="left" w:pos="426"/>
        </w:tabs>
        <w:spacing w:after="0" w:line="280" w:lineRule="exact"/>
        <w:ind w:left="426" w:hanging="426"/>
        <w:jc w:val="both"/>
        <w:rPr>
          <w:sz w:val="20"/>
          <w:szCs w:val="20"/>
        </w:rPr>
      </w:pPr>
      <w:r w:rsidRPr="008040A4">
        <w:rPr>
          <w:sz w:val="20"/>
          <w:szCs w:val="20"/>
        </w:rPr>
        <w:t>Con</w:t>
      </w:r>
      <w:r w:rsidR="005A081D" w:rsidRPr="008040A4">
        <w:rPr>
          <w:sz w:val="20"/>
          <w:szCs w:val="20"/>
        </w:rPr>
        <w:t xml:space="preserve"> Decreto Supremo N° 020-2012 se modificó el Reglamento, a fin de uniformizar criterios para la evaluación y otorgamiento de la autorización de beneficio, concesión de beneficio, e inicio de actividad de exploración y/o explotación para la minería artesanal, pequeña minería, </w:t>
      </w:r>
      <w:r w:rsidR="007B558E" w:rsidRPr="008040A4">
        <w:rPr>
          <w:sz w:val="20"/>
          <w:szCs w:val="20"/>
        </w:rPr>
        <w:t xml:space="preserve">mediana minería y gran minería; estableciendo en su artículo 75 </w:t>
      </w:r>
      <w:r w:rsidR="00051E5E" w:rsidRPr="008040A4">
        <w:rPr>
          <w:sz w:val="20"/>
          <w:szCs w:val="20"/>
        </w:rPr>
        <w:t>que para la obtención de la autorización de inicio/reinicio de las actividades de exploración, desarrollo, preparación (incluye aprobación del plan de minado y botaderos) y explotación en concesiones m</w:t>
      </w:r>
      <w:r w:rsidR="00346192" w:rsidRPr="008040A4">
        <w:rPr>
          <w:sz w:val="20"/>
          <w:szCs w:val="20"/>
        </w:rPr>
        <w:t>ineras y/o UEA y modificaciones;</w:t>
      </w:r>
      <w:r w:rsidR="00051E5E" w:rsidRPr="008040A4">
        <w:rPr>
          <w:sz w:val="20"/>
          <w:szCs w:val="20"/>
        </w:rPr>
        <w:t xml:space="preserve"> el titular minero presentará a la Dir</w:t>
      </w:r>
      <w:r w:rsidR="008040A4" w:rsidRPr="008040A4">
        <w:rPr>
          <w:sz w:val="20"/>
          <w:szCs w:val="20"/>
        </w:rPr>
        <w:t>ección General de Minería o al Gobierno R</w:t>
      </w:r>
      <w:r w:rsidR="00051E5E" w:rsidRPr="008040A4">
        <w:rPr>
          <w:sz w:val="20"/>
          <w:szCs w:val="20"/>
        </w:rPr>
        <w:t>egi</w:t>
      </w:r>
      <w:r w:rsidR="008040A4" w:rsidRPr="008040A4">
        <w:rPr>
          <w:sz w:val="20"/>
          <w:szCs w:val="20"/>
        </w:rPr>
        <w:t xml:space="preserve">onal, </w:t>
      </w:r>
      <w:r w:rsidR="008040A4">
        <w:rPr>
          <w:sz w:val="20"/>
          <w:szCs w:val="20"/>
        </w:rPr>
        <w:t>los requisitos establecidos.</w:t>
      </w:r>
    </w:p>
    <w:p w:rsidR="008040A4" w:rsidRPr="008040A4" w:rsidRDefault="008040A4" w:rsidP="008040A4">
      <w:pPr>
        <w:tabs>
          <w:tab w:val="left" w:pos="426"/>
        </w:tabs>
        <w:spacing w:after="0" w:line="280" w:lineRule="exact"/>
        <w:jc w:val="both"/>
        <w:rPr>
          <w:rStyle w:val="no-style-override-1"/>
          <w:sz w:val="20"/>
          <w:szCs w:val="20"/>
        </w:rPr>
      </w:pPr>
    </w:p>
    <w:p w:rsidR="00AD3BCA" w:rsidRPr="003D2A4F" w:rsidRDefault="00AD3BCA" w:rsidP="003D2A4F">
      <w:pPr>
        <w:pStyle w:val="Prrafodelista"/>
        <w:numPr>
          <w:ilvl w:val="1"/>
          <w:numId w:val="1"/>
        </w:numPr>
        <w:tabs>
          <w:tab w:val="left" w:pos="426"/>
        </w:tabs>
        <w:spacing w:after="0" w:line="280" w:lineRule="exact"/>
        <w:ind w:left="426" w:hanging="426"/>
        <w:jc w:val="both"/>
        <w:rPr>
          <w:sz w:val="20"/>
          <w:szCs w:val="20"/>
        </w:rPr>
      </w:pPr>
      <w:r w:rsidRPr="003D2A4F">
        <w:rPr>
          <w:sz w:val="20"/>
          <w:szCs w:val="20"/>
        </w:rPr>
        <w:t xml:space="preserve">Mediante </w:t>
      </w:r>
      <w:r w:rsidRPr="003D2A4F">
        <w:rPr>
          <w:rFonts w:cs="Arial"/>
          <w:sz w:val="20"/>
          <w:szCs w:val="20"/>
        </w:rPr>
        <w:t>Decreto Supremo N</w:t>
      </w:r>
      <w:r w:rsidR="00346192" w:rsidRPr="003D2A4F">
        <w:rPr>
          <w:rFonts w:cs="Arial"/>
          <w:sz w:val="20"/>
          <w:szCs w:val="20"/>
        </w:rPr>
        <w:t>°</w:t>
      </w:r>
      <w:r w:rsidRPr="003D2A4F">
        <w:rPr>
          <w:rFonts w:cs="Arial"/>
          <w:sz w:val="20"/>
          <w:szCs w:val="20"/>
        </w:rPr>
        <w:t xml:space="preserve"> 001-2015-EM, se aprobaron disposiciones para los procedimientos mineros que impulsen proyectos de inversión, modificándose y/o incorporándose requisitos para los procedimientos administrativos de otorgamiento y modificación de concesión de beneficio y autorización para inicio/reinicio de las actividades de exploración, desarrollo, preparación y explotación, que incluye el Plan de Minado y Botaderos</w:t>
      </w:r>
      <w:r w:rsidR="00346192" w:rsidRPr="003D2A4F">
        <w:rPr>
          <w:rFonts w:cs="Arial"/>
          <w:sz w:val="20"/>
          <w:szCs w:val="20"/>
        </w:rPr>
        <w:t>;</w:t>
      </w:r>
      <w:r w:rsidRPr="003D2A4F">
        <w:rPr>
          <w:rFonts w:cs="Arial"/>
          <w:sz w:val="20"/>
          <w:szCs w:val="20"/>
        </w:rPr>
        <w:t xml:space="preserve"> modificándose plazos relacionados a dichos procedimientos y estableciéndose además un nuevo procedimiento destinado a la modificación de la concesión de beneficio, denominado Informe Técnico Minero.</w:t>
      </w:r>
    </w:p>
    <w:p w:rsidR="00AD3BCA" w:rsidRPr="003D2A4F" w:rsidRDefault="00AD3BCA" w:rsidP="003D2A4F">
      <w:pPr>
        <w:pStyle w:val="Prrafodelista"/>
        <w:spacing w:after="0" w:line="280" w:lineRule="exact"/>
        <w:rPr>
          <w:sz w:val="20"/>
          <w:szCs w:val="20"/>
        </w:rPr>
      </w:pPr>
    </w:p>
    <w:p w:rsidR="00DE507C" w:rsidRPr="008040A4" w:rsidRDefault="008040A4" w:rsidP="003D2A4F">
      <w:pPr>
        <w:pStyle w:val="Prrafodelista"/>
        <w:numPr>
          <w:ilvl w:val="1"/>
          <w:numId w:val="1"/>
        </w:numPr>
        <w:tabs>
          <w:tab w:val="left" w:pos="426"/>
        </w:tabs>
        <w:spacing w:after="0" w:line="280" w:lineRule="exact"/>
        <w:ind w:left="426" w:hanging="426"/>
        <w:jc w:val="both"/>
        <w:rPr>
          <w:sz w:val="20"/>
          <w:szCs w:val="20"/>
        </w:rPr>
      </w:pPr>
      <w:r w:rsidRPr="008040A4">
        <w:rPr>
          <w:rFonts w:cs="Arial"/>
          <w:bCs/>
          <w:sz w:val="20"/>
          <w:szCs w:val="20"/>
        </w:rPr>
        <w:t>E</w:t>
      </w:r>
      <w:r w:rsidRPr="008040A4">
        <w:rPr>
          <w:rFonts w:cs="Arial"/>
          <w:bCs/>
          <w:sz w:val="20"/>
          <w:szCs w:val="20"/>
        </w:rPr>
        <w:t xml:space="preserve">n aras de </w:t>
      </w:r>
      <w:r w:rsidRPr="008040A4">
        <w:rPr>
          <w:rFonts w:cs="Arial"/>
          <w:sz w:val="20"/>
          <w:szCs w:val="20"/>
        </w:rPr>
        <w:t>uniformizar criterios para la presentación de las solicitudes y requisitos</w:t>
      </w:r>
      <w:r w:rsidRPr="008040A4">
        <w:rPr>
          <w:rFonts w:cs="Arial"/>
          <w:sz w:val="20"/>
          <w:szCs w:val="20"/>
        </w:rPr>
        <w:t xml:space="preserve"> correspondientes a </w:t>
      </w:r>
      <w:r w:rsidRPr="008040A4">
        <w:rPr>
          <w:rFonts w:cs="Arial"/>
          <w:sz w:val="20"/>
          <w:szCs w:val="20"/>
        </w:rPr>
        <w:t>l</w:t>
      </w:r>
      <w:r w:rsidRPr="008040A4">
        <w:rPr>
          <w:rFonts w:cs="Arial"/>
          <w:sz w:val="20"/>
          <w:szCs w:val="20"/>
        </w:rPr>
        <w:t>os</w:t>
      </w:r>
      <w:r w:rsidRPr="008040A4">
        <w:rPr>
          <w:rFonts w:cs="Arial"/>
          <w:sz w:val="20"/>
          <w:szCs w:val="20"/>
        </w:rPr>
        <w:t xml:space="preserve"> procedimiento</w:t>
      </w:r>
      <w:r w:rsidRPr="008040A4">
        <w:rPr>
          <w:rFonts w:cs="Arial"/>
          <w:sz w:val="20"/>
          <w:szCs w:val="20"/>
        </w:rPr>
        <w:t>s</w:t>
      </w:r>
      <w:r w:rsidRPr="008040A4">
        <w:rPr>
          <w:rFonts w:cs="Arial"/>
          <w:sz w:val="20"/>
          <w:szCs w:val="20"/>
        </w:rPr>
        <w:t xml:space="preserve"> de autorización para el inicio de actividades de exploración</w:t>
      </w:r>
      <w:r w:rsidRPr="008040A4">
        <w:rPr>
          <w:rFonts w:cs="Arial"/>
          <w:sz w:val="20"/>
          <w:szCs w:val="20"/>
        </w:rPr>
        <w:t xml:space="preserve"> y </w:t>
      </w:r>
      <w:r w:rsidRPr="008040A4">
        <w:rPr>
          <w:rFonts w:cs="Arial"/>
          <w:sz w:val="20"/>
          <w:szCs w:val="20"/>
        </w:rPr>
        <w:t>de autorización para el inicio o reinicio de las actividades de desarrollo, preparación y explotación, que incluye el Plan de Mina</w:t>
      </w:r>
      <w:r w:rsidRPr="008040A4">
        <w:rPr>
          <w:rFonts w:cs="Arial"/>
          <w:sz w:val="20"/>
          <w:szCs w:val="20"/>
        </w:rPr>
        <w:t xml:space="preserve">do y Botaderos, mediante </w:t>
      </w:r>
      <w:r w:rsidRPr="008040A4">
        <w:rPr>
          <w:rFonts w:cs="Arial"/>
          <w:bCs/>
          <w:sz w:val="20"/>
          <w:szCs w:val="20"/>
        </w:rPr>
        <w:t>Decreto Supremo N° 003-2016-EM</w:t>
      </w:r>
      <w:r w:rsidR="00AD3BCA" w:rsidRPr="008040A4">
        <w:rPr>
          <w:rFonts w:cs="Arial"/>
          <w:sz w:val="20"/>
          <w:szCs w:val="20"/>
        </w:rPr>
        <w:t xml:space="preserve"> </w:t>
      </w:r>
      <w:r w:rsidRPr="008040A4">
        <w:rPr>
          <w:rFonts w:cs="Arial"/>
          <w:sz w:val="20"/>
          <w:szCs w:val="20"/>
        </w:rPr>
        <w:t>se aprobaron los</w:t>
      </w:r>
      <w:r w:rsidR="00AD3BCA" w:rsidRPr="008040A4">
        <w:rPr>
          <w:rFonts w:cs="Arial"/>
          <w:sz w:val="20"/>
          <w:szCs w:val="20"/>
        </w:rPr>
        <w:t xml:space="preserve"> formularios electrónicos </w:t>
      </w:r>
      <w:r w:rsidRPr="008040A4">
        <w:rPr>
          <w:rFonts w:cs="Arial"/>
          <w:sz w:val="20"/>
          <w:szCs w:val="20"/>
        </w:rPr>
        <w:t>los que se encuentran en la</w:t>
      </w:r>
      <w:r w:rsidR="00AD3BCA" w:rsidRPr="008040A4">
        <w:rPr>
          <w:rFonts w:cs="Arial"/>
          <w:sz w:val="20"/>
          <w:szCs w:val="20"/>
        </w:rPr>
        <w:t xml:space="preserve"> extranet del Portal Web del Ministeri</w:t>
      </w:r>
      <w:r w:rsidRPr="008040A4">
        <w:rPr>
          <w:rFonts w:cs="Arial"/>
          <w:sz w:val="20"/>
          <w:szCs w:val="20"/>
        </w:rPr>
        <w:t>o de Energía y Minas</w:t>
      </w:r>
      <w:r w:rsidR="00AD3BCA" w:rsidRPr="008040A4">
        <w:rPr>
          <w:rFonts w:cs="StagSans-Medium"/>
          <w:sz w:val="20"/>
          <w:szCs w:val="20"/>
        </w:rPr>
        <w:t xml:space="preserve"> </w:t>
      </w:r>
      <w:r w:rsidR="00C529AC" w:rsidRPr="008040A4">
        <w:rPr>
          <w:rFonts w:cs="StagSans-Medium"/>
          <w:sz w:val="20"/>
          <w:szCs w:val="20"/>
        </w:rPr>
        <w:t xml:space="preserve">y se dispuso </w:t>
      </w:r>
      <w:r w:rsidR="00AD3BCA" w:rsidRPr="008040A4">
        <w:rPr>
          <w:rFonts w:cs="StagSans-Medium"/>
          <w:sz w:val="20"/>
          <w:szCs w:val="20"/>
        </w:rPr>
        <w:t xml:space="preserve">la </w:t>
      </w:r>
      <w:r w:rsidRPr="008040A4">
        <w:rPr>
          <w:rFonts w:cs="Arial"/>
          <w:sz w:val="20"/>
          <w:szCs w:val="20"/>
        </w:rPr>
        <w:t>p</w:t>
      </w:r>
      <w:r w:rsidR="00AD3BCA" w:rsidRPr="008040A4">
        <w:rPr>
          <w:rFonts w:cs="Arial"/>
          <w:sz w:val="20"/>
          <w:szCs w:val="20"/>
        </w:rPr>
        <w:t>resentación de</w:t>
      </w:r>
      <w:r w:rsidRPr="008040A4">
        <w:rPr>
          <w:rFonts w:cs="Arial"/>
          <w:sz w:val="20"/>
          <w:szCs w:val="20"/>
        </w:rPr>
        <w:t>l</w:t>
      </w:r>
      <w:r w:rsidR="00AD3BCA" w:rsidRPr="008040A4">
        <w:rPr>
          <w:rFonts w:cs="Arial"/>
          <w:sz w:val="20"/>
          <w:szCs w:val="20"/>
        </w:rPr>
        <w:t xml:space="preserve"> Informe Técnico Minero para el procedimiento de modificación de la autorización para inicio/reinicio de las actividades de desarrollo, preparación y explotación, que incluye el plan de minado y botaderos. </w:t>
      </w:r>
    </w:p>
    <w:p w:rsidR="008040A4" w:rsidRPr="008040A4" w:rsidRDefault="008040A4" w:rsidP="008040A4">
      <w:pPr>
        <w:tabs>
          <w:tab w:val="left" w:pos="426"/>
        </w:tabs>
        <w:spacing w:after="0" w:line="280" w:lineRule="exact"/>
        <w:jc w:val="both"/>
        <w:rPr>
          <w:sz w:val="20"/>
          <w:szCs w:val="20"/>
        </w:rPr>
      </w:pPr>
    </w:p>
    <w:p w:rsidR="009B1205" w:rsidRPr="009B1205" w:rsidRDefault="003C22D3" w:rsidP="003D2A4F">
      <w:pPr>
        <w:pStyle w:val="Prrafodelista"/>
        <w:numPr>
          <w:ilvl w:val="1"/>
          <w:numId w:val="1"/>
        </w:numPr>
        <w:tabs>
          <w:tab w:val="left" w:pos="426"/>
        </w:tabs>
        <w:spacing w:after="0" w:line="280" w:lineRule="exact"/>
        <w:ind w:left="426" w:hanging="426"/>
        <w:jc w:val="both"/>
        <w:rPr>
          <w:sz w:val="20"/>
          <w:szCs w:val="20"/>
        </w:rPr>
      </w:pPr>
      <w:r w:rsidRPr="003D2A4F">
        <w:rPr>
          <w:rFonts w:cs="Arial"/>
          <w:sz w:val="20"/>
          <w:szCs w:val="20"/>
        </w:rPr>
        <w:t>E</w:t>
      </w:r>
      <w:r w:rsidR="00971DC3" w:rsidRPr="003D2A4F">
        <w:rPr>
          <w:rFonts w:cs="Arial"/>
          <w:sz w:val="20"/>
          <w:szCs w:val="20"/>
        </w:rPr>
        <w:t>l</w:t>
      </w:r>
      <w:r w:rsidR="00971DC3" w:rsidRPr="003D2A4F">
        <w:rPr>
          <w:rFonts w:cs="Arial"/>
          <w:spacing w:val="34"/>
          <w:sz w:val="20"/>
          <w:szCs w:val="20"/>
        </w:rPr>
        <w:t xml:space="preserve"> </w:t>
      </w:r>
      <w:r w:rsidR="00971DC3" w:rsidRPr="003D2A4F">
        <w:rPr>
          <w:rFonts w:cs="Arial"/>
          <w:sz w:val="20"/>
          <w:szCs w:val="20"/>
        </w:rPr>
        <w:t>Texto</w:t>
      </w:r>
      <w:r w:rsidR="00971DC3" w:rsidRPr="003D2A4F">
        <w:rPr>
          <w:rFonts w:cs="Arial"/>
          <w:spacing w:val="27"/>
          <w:sz w:val="20"/>
          <w:szCs w:val="20"/>
        </w:rPr>
        <w:t xml:space="preserve"> </w:t>
      </w:r>
      <w:r w:rsidR="00971DC3" w:rsidRPr="003D2A4F">
        <w:rPr>
          <w:rFonts w:cs="Arial"/>
          <w:sz w:val="20"/>
          <w:szCs w:val="20"/>
        </w:rPr>
        <w:t>Único</w:t>
      </w:r>
      <w:r w:rsidR="00971DC3" w:rsidRPr="003D2A4F">
        <w:rPr>
          <w:rFonts w:cs="Arial"/>
          <w:spacing w:val="46"/>
          <w:sz w:val="20"/>
          <w:szCs w:val="20"/>
        </w:rPr>
        <w:t xml:space="preserve"> </w:t>
      </w:r>
      <w:r w:rsidR="00971DC3" w:rsidRPr="003D2A4F">
        <w:rPr>
          <w:rFonts w:cs="Arial"/>
          <w:sz w:val="20"/>
          <w:szCs w:val="20"/>
        </w:rPr>
        <w:t>Ordenado</w:t>
      </w:r>
      <w:r w:rsidR="00971DC3" w:rsidRPr="003D2A4F">
        <w:rPr>
          <w:rFonts w:cs="Arial"/>
          <w:spacing w:val="36"/>
          <w:sz w:val="20"/>
          <w:szCs w:val="20"/>
        </w:rPr>
        <w:t xml:space="preserve"> </w:t>
      </w:r>
      <w:r w:rsidR="00971DC3" w:rsidRPr="003D2A4F">
        <w:rPr>
          <w:rFonts w:cs="Arial"/>
          <w:sz w:val="20"/>
          <w:szCs w:val="20"/>
        </w:rPr>
        <w:t>de</w:t>
      </w:r>
      <w:r w:rsidR="00971DC3" w:rsidRPr="003D2A4F">
        <w:rPr>
          <w:rFonts w:cs="Arial"/>
          <w:spacing w:val="35"/>
          <w:sz w:val="20"/>
          <w:szCs w:val="20"/>
        </w:rPr>
        <w:t xml:space="preserve"> </w:t>
      </w:r>
      <w:r w:rsidR="00971DC3" w:rsidRPr="003D2A4F">
        <w:rPr>
          <w:rFonts w:cs="Arial"/>
          <w:sz w:val="20"/>
          <w:szCs w:val="20"/>
        </w:rPr>
        <w:t>la</w:t>
      </w:r>
      <w:r w:rsidR="00971DC3" w:rsidRPr="003D2A4F">
        <w:rPr>
          <w:rFonts w:cs="Arial"/>
          <w:spacing w:val="39"/>
          <w:sz w:val="20"/>
          <w:szCs w:val="20"/>
        </w:rPr>
        <w:t xml:space="preserve"> </w:t>
      </w:r>
      <w:r w:rsidR="009B1205">
        <w:rPr>
          <w:rFonts w:cs="Arial"/>
          <w:sz w:val="20"/>
          <w:szCs w:val="20"/>
        </w:rPr>
        <w:t>Ley N° 27444</w:t>
      </w:r>
      <w:r w:rsidR="009B1205">
        <w:rPr>
          <w:rFonts w:cs="Arial"/>
          <w:sz w:val="20"/>
          <w:szCs w:val="20"/>
        </w:rPr>
        <w:t xml:space="preserve"> - </w:t>
      </w:r>
      <w:r w:rsidR="009B1205" w:rsidRPr="003D2A4F">
        <w:rPr>
          <w:rFonts w:cs="Arial"/>
          <w:sz w:val="20"/>
          <w:szCs w:val="20"/>
        </w:rPr>
        <w:t>Ley del</w:t>
      </w:r>
      <w:r w:rsidR="009B1205" w:rsidRPr="003D2A4F">
        <w:rPr>
          <w:rFonts w:cs="Arial"/>
          <w:spacing w:val="31"/>
          <w:sz w:val="20"/>
          <w:szCs w:val="20"/>
        </w:rPr>
        <w:t xml:space="preserve"> </w:t>
      </w:r>
      <w:r w:rsidR="009B1205" w:rsidRPr="003D2A4F">
        <w:rPr>
          <w:rFonts w:cs="Arial"/>
          <w:sz w:val="20"/>
          <w:szCs w:val="20"/>
        </w:rPr>
        <w:t>Procedimiento</w:t>
      </w:r>
      <w:r w:rsidR="009B1205" w:rsidRPr="003D2A4F">
        <w:rPr>
          <w:rFonts w:cs="Arial"/>
          <w:spacing w:val="18"/>
          <w:sz w:val="20"/>
          <w:szCs w:val="20"/>
        </w:rPr>
        <w:t xml:space="preserve"> </w:t>
      </w:r>
      <w:r w:rsidR="009B1205" w:rsidRPr="003D2A4F">
        <w:rPr>
          <w:rFonts w:cs="Arial"/>
          <w:sz w:val="20"/>
          <w:szCs w:val="20"/>
        </w:rPr>
        <w:t>Administrativo</w:t>
      </w:r>
      <w:r w:rsidR="009B1205" w:rsidRPr="003D2A4F">
        <w:rPr>
          <w:rFonts w:cs="Arial"/>
          <w:spacing w:val="42"/>
          <w:sz w:val="20"/>
          <w:szCs w:val="20"/>
        </w:rPr>
        <w:t xml:space="preserve"> </w:t>
      </w:r>
      <w:r w:rsidR="009B1205" w:rsidRPr="003D2A4F">
        <w:rPr>
          <w:rFonts w:cs="Arial"/>
          <w:sz w:val="20"/>
          <w:szCs w:val="20"/>
        </w:rPr>
        <w:t>General</w:t>
      </w:r>
      <w:r w:rsidR="009B1205">
        <w:rPr>
          <w:rFonts w:cs="Arial"/>
          <w:sz w:val="20"/>
          <w:szCs w:val="20"/>
        </w:rPr>
        <w:t xml:space="preserve">, </w:t>
      </w:r>
      <w:r w:rsidR="00971DC3" w:rsidRPr="003D2A4F">
        <w:rPr>
          <w:rFonts w:cs="Arial"/>
          <w:sz w:val="20"/>
          <w:szCs w:val="20"/>
        </w:rPr>
        <w:t xml:space="preserve"> aprobado</w:t>
      </w:r>
      <w:r w:rsidR="00971DC3" w:rsidRPr="003D2A4F">
        <w:rPr>
          <w:rFonts w:cs="Arial"/>
          <w:spacing w:val="2"/>
          <w:sz w:val="20"/>
          <w:szCs w:val="20"/>
        </w:rPr>
        <w:t xml:space="preserve"> </w:t>
      </w:r>
      <w:r w:rsidR="00971DC3" w:rsidRPr="003D2A4F">
        <w:rPr>
          <w:rFonts w:cs="Arial"/>
          <w:sz w:val="20"/>
          <w:szCs w:val="20"/>
        </w:rPr>
        <w:t>mediante Decreto Supremo N° 006-2017-JUS</w:t>
      </w:r>
      <w:r w:rsidR="009B1205">
        <w:rPr>
          <w:rFonts w:cs="Arial"/>
          <w:sz w:val="20"/>
          <w:szCs w:val="20"/>
        </w:rPr>
        <w:t>,</w:t>
      </w:r>
      <w:r w:rsidR="00971DC3" w:rsidRPr="003D2A4F">
        <w:rPr>
          <w:rFonts w:cs="Arial"/>
          <w:sz w:val="20"/>
          <w:szCs w:val="20"/>
        </w:rPr>
        <w:t xml:space="preserve"> dispone</w:t>
      </w:r>
      <w:r w:rsidR="00184888" w:rsidRPr="003D2A4F">
        <w:rPr>
          <w:sz w:val="20"/>
          <w:szCs w:val="20"/>
        </w:rPr>
        <w:t xml:space="preserve"> </w:t>
      </w:r>
      <w:r w:rsidR="00EB4062" w:rsidRPr="003D2A4F">
        <w:rPr>
          <w:sz w:val="20"/>
          <w:szCs w:val="20"/>
        </w:rPr>
        <w:t xml:space="preserve">en el artículo IV de su Título Preliminar, los </w:t>
      </w:r>
      <w:r w:rsidR="00EB4062" w:rsidRPr="003D2A4F">
        <w:rPr>
          <w:rFonts w:cs="Arial"/>
          <w:color w:val="000000"/>
          <w:sz w:val="20"/>
          <w:szCs w:val="20"/>
          <w:shd w:val="clear" w:color="auto" w:fill="FFFFFF"/>
        </w:rPr>
        <w:t xml:space="preserve">principios </w:t>
      </w:r>
      <w:r w:rsidR="008444B5" w:rsidRPr="003D2A4F">
        <w:rPr>
          <w:rFonts w:cs="Arial"/>
          <w:color w:val="000000"/>
          <w:sz w:val="20"/>
          <w:szCs w:val="20"/>
          <w:shd w:val="clear" w:color="auto" w:fill="FFFFFF"/>
        </w:rPr>
        <w:t>del derecho a</w:t>
      </w:r>
      <w:r w:rsidR="00EB4062" w:rsidRPr="003D2A4F">
        <w:rPr>
          <w:rFonts w:cs="Arial"/>
          <w:color w:val="000000"/>
          <w:sz w:val="20"/>
          <w:szCs w:val="20"/>
          <w:shd w:val="clear" w:color="auto" w:fill="FFFFFF"/>
        </w:rPr>
        <w:t xml:space="preserve">dministrativo </w:t>
      </w:r>
      <w:r w:rsidR="008444B5" w:rsidRPr="003D2A4F">
        <w:rPr>
          <w:rFonts w:cs="Arial"/>
          <w:color w:val="000000"/>
          <w:sz w:val="20"/>
          <w:szCs w:val="20"/>
          <w:shd w:val="clear" w:color="auto" w:fill="FFFFFF"/>
        </w:rPr>
        <w:t xml:space="preserve">que </w:t>
      </w:r>
      <w:r w:rsidR="009B1205">
        <w:rPr>
          <w:rFonts w:cs="Arial"/>
          <w:color w:val="000000"/>
          <w:sz w:val="20"/>
          <w:szCs w:val="20"/>
          <w:shd w:val="clear" w:color="auto" w:fill="FFFFFF"/>
        </w:rPr>
        <w:t>prevén simplificación de los procedimientos y requisitos establecidos para dotar de mayor celeridad la actuación de la administración pública.</w:t>
      </w:r>
    </w:p>
    <w:p w:rsidR="00CD7231" w:rsidRPr="003D2A4F" w:rsidRDefault="00CD7231" w:rsidP="003D2A4F">
      <w:pPr>
        <w:widowControl w:val="0"/>
        <w:autoSpaceDE w:val="0"/>
        <w:autoSpaceDN w:val="0"/>
        <w:adjustRightInd w:val="0"/>
        <w:spacing w:after="0" w:line="280" w:lineRule="exact"/>
        <w:ind w:right="-1"/>
        <w:jc w:val="both"/>
        <w:rPr>
          <w:rFonts w:cs="Arial"/>
          <w:sz w:val="20"/>
          <w:szCs w:val="20"/>
          <w:shd w:val="clear" w:color="auto" w:fill="FFFFFF"/>
        </w:rPr>
      </w:pPr>
    </w:p>
    <w:p w:rsidR="002B14C4" w:rsidRPr="003D2A4F" w:rsidRDefault="00DE507C" w:rsidP="003D2A4F">
      <w:pPr>
        <w:pStyle w:val="Prrafodelista"/>
        <w:numPr>
          <w:ilvl w:val="0"/>
          <w:numId w:val="1"/>
        </w:numPr>
        <w:tabs>
          <w:tab w:val="left" w:pos="426"/>
        </w:tabs>
        <w:spacing w:after="0" w:line="280" w:lineRule="exact"/>
        <w:ind w:hanging="765"/>
        <w:jc w:val="both"/>
        <w:rPr>
          <w:b/>
          <w:sz w:val="20"/>
          <w:szCs w:val="20"/>
        </w:rPr>
      </w:pPr>
      <w:r w:rsidRPr="003D2A4F">
        <w:rPr>
          <w:b/>
          <w:sz w:val="20"/>
          <w:szCs w:val="20"/>
          <w:u w:val="single"/>
        </w:rPr>
        <w:t>ANÁ</w:t>
      </w:r>
      <w:r w:rsidR="002B14C4" w:rsidRPr="003D2A4F">
        <w:rPr>
          <w:b/>
          <w:sz w:val="20"/>
          <w:szCs w:val="20"/>
          <w:u w:val="single"/>
        </w:rPr>
        <w:t>LISIS</w:t>
      </w:r>
      <w:r w:rsidR="002B14C4" w:rsidRPr="003D2A4F">
        <w:rPr>
          <w:b/>
          <w:sz w:val="20"/>
          <w:szCs w:val="20"/>
        </w:rPr>
        <w:t>:</w:t>
      </w:r>
    </w:p>
    <w:p w:rsidR="00874F7E" w:rsidRPr="003D2A4F" w:rsidRDefault="00874F7E" w:rsidP="003D2A4F">
      <w:pPr>
        <w:tabs>
          <w:tab w:val="left" w:pos="426"/>
        </w:tabs>
        <w:spacing w:after="0" w:line="280" w:lineRule="exact"/>
        <w:jc w:val="both"/>
        <w:rPr>
          <w:b/>
          <w:sz w:val="20"/>
          <w:szCs w:val="20"/>
        </w:rPr>
      </w:pPr>
    </w:p>
    <w:p w:rsidR="00C85B3F" w:rsidRPr="003D2A4F" w:rsidRDefault="00C85B3F" w:rsidP="003D2A4F">
      <w:pPr>
        <w:tabs>
          <w:tab w:val="left" w:pos="426"/>
        </w:tabs>
        <w:spacing w:after="0" w:line="280" w:lineRule="exact"/>
        <w:jc w:val="both"/>
        <w:rPr>
          <w:b/>
          <w:sz w:val="20"/>
          <w:szCs w:val="20"/>
          <w:u w:val="single"/>
        </w:rPr>
      </w:pPr>
      <w:r w:rsidRPr="003D2A4F">
        <w:rPr>
          <w:b/>
          <w:sz w:val="20"/>
          <w:szCs w:val="20"/>
          <w:u w:val="single"/>
        </w:rPr>
        <w:t>Modificación de</w:t>
      </w:r>
      <w:r w:rsidR="002D2CF8" w:rsidRPr="003D2A4F">
        <w:rPr>
          <w:b/>
          <w:sz w:val="20"/>
          <w:szCs w:val="20"/>
          <w:u w:val="single"/>
        </w:rPr>
        <w:t xml:space="preserve"> </w:t>
      </w:r>
      <w:r w:rsidRPr="003D2A4F">
        <w:rPr>
          <w:b/>
          <w:sz w:val="20"/>
          <w:szCs w:val="20"/>
          <w:u w:val="single"/>
        </w:rPr>
        <w:t>l</w:t>
      </w:r>
      <w:r w:rsidR="002D2CF8" w:rsidRPr="003D2A4F">
        <w:rPr>
          <w:b/>
          <w:sz w:val="20"/>
          <w:szCs w:val="20"/>
          <w:u w:val="single"/>
        </w:rPr>
        <w:t>os</w:t>
      </w:r>
      <w:r w:rsidRPr="003D2A4F">
        <w:rPr>
          <w:b/>
          <w:sz w:val="20"/>
          <w:szCs w:val="20"/>
          <w:u w:val="single"/>
        </w:rPr>
        <w:t xml:space="preserve"> artículo</w:t>
      </w:r>
      <w:r w:rsidR="002D2CF8" w:rsidRPr="003D2A4F">
        <w:rPr>
          <w:b/>
          <w:sz w:val="20"/>
          <w:szCs w:val="20"/>
          <w:u w:val="single"/>
        </w:rPr>
        <w:t>s</w:t>
      </w:r>
      <w:r w:rsidRPr="003D2A4F">
        <w:rPr>
          <w:b/>
          <w:sz w:val="20"/>
          <w:szCs w:val="20"/>
          <w:u w:val="single"/>
        </w:rPr>
        <w:t xml:space="preserve"> 35</w:t>
      </w:r>
      <w:r w:rsidR="002D2CF8" w:rsidRPr="003D2A4F">
        <w:rPr>
          <w:b/>
          <w:sz w:val="20"/>
          <w:szCs w:val="20"/>
          <w:u w:val="single"/>
        </w:rPr>
        <w:t>, 36, 37 y 38</w:t>
      </w:r>
      <w:r w:rsidRPr="003D2A4F">
        <w:rPr>
          <w:b/>
          <w:sz w:val="20"/>
          <w:szCs w:val="20"/>
          <w:u w:val="single"/>
        </w:rPr>
        <w:t xml:space="preserve"> del Decreto Supremo N° 018-92-EM</w:t>
      </w:r>
      <w:r w:rsidR="00C1215F">
        <w:rPr>
          <w:b/>
          <w:sz w:val="20"/>
          <w:szCs w:val="20"/>
          <w:u w:val="single"/>
        </w:rPr>
        <w:t xml:space="preserve"> referidos al procedimiento de otorgamiento de la concesión de beneficio</w:t>
      </w:r>
    </w:p>
    <w:p w:rsidR="0023290C" w:rsidRPr="00277E67" w:rsidRDefault="0023290C" w:rsidP="003D2A4F">
      <w:pPr>
        <w:spacing w:after="0" w:line="280" w:lineRule="exact"/>
        <w:jc w:val="both"/>
        <w:rPr>
          <w:rFonts w:cs="Calibri"/>
          <w:sz w:val="20"/>
          <w:szCs w:val="20"/>
        </w:rPr>
      </w:pPr>
    </w:p>
    <w:p w:rsidR="00BA4965" w:rsidRPr="00277E67" w:rsidRDefault="009B1205" w:rsidP="00902035">
      <w:pPr>
        <w:pStyle w:val="Prrafodelista"/>
        <w:numPr>
          <w:ilvl w:val="1"/>
          <w:numId w:val="1"/>
        </w:numPr>
        <w:spacing w:after="0" w:line="280" w:lineRule="exact"/>
        <w:ind w:left="426" w:hanging="426"/>
        <w:jc w:val="both"/>
        <w:rPr>
          <w:rFonts w:cs="Calibri"/>
          <w:sz w:val="20"/>
          <w:szCs w:val="20"/>
        </w:rPr>
      </w:pPr>
      <w:r>
        <w:rPr>
          <w:rFonts w:cs="Calibri"/>
          <w:sz w:val="20"/>
          <w:szCs w:val="20"/>
        </w:rPr>
        <w:lastRenderedPageBreak/>
        <w:t>En el procedimiento de otorgamiento de concesión de beneficio, el</w:t>
      </w:r>
      <w:r w:rsidR="00A6207F" w:rsidRPr="00277E67">
        <w:rPr>
          <w:rFonts w:cs="Calibri"/>
          <w:sz w:val="20"/>
          <w:szCs w:val="20"/>
        </w:rPr>
        <w:t xml:space="preserve"> proyecto de </w:t>
      </w:r>
      <w:r>
        <w:rPr>
          <w:rFonts w:cs="Calibri"/>
          <w:sz w:val="20"/>
          <w:szCs w:val="20"/>
        </w:rPr>
        <w:t>decreto supremo</w:t>
      </w:r>
      <w:r w:rsidR="00A6207F" w:rsidRPr="00277E67">
        <w:rPr>
          <w:rFonts w:cs="Calibri"/>
          <w:sz w:val="20"/>
          <w:szCs w:val="20"/>
        </w:rPr>
        <w:t xml:space="preserve"> desarrol</w:t>
      </w:r>
      <w:r>
        <w:rPr>
          <w:rFonts w:cs="Calibri"/>
          <w:sz w:val="20"/>
          <w:szCs w:val="20"/>
        </w:rPr>
        <w:t>la los mecanismos a través de los</w:t>
      </w:r>
      <w:r w:rsidR="00A6207F" w:rsidRPr="00277E67">
        <w:rPr>
          <w:rFonts w:cs="Calibri"/>
          <w:sz w:val="20"/>
          <w:szCs w:val="20"/>
        </w:rPr>
        <w:t xml:space="preserve"> cual</w:t>
      </w:r>
      <w:r>
        <w:rPr>
          <w:rFonts w:cs="Calibri"/>
          <w:sz w:val="20"/>
          <w:szCs w:val="20"/>
        </w:rPr>
        <w:t>es el titular acredita</w:t>
      </w:r>
      <w:r w:rsidR="00A6207F" w:rsidRPr="00277E67">
        <w:rPr>
          <w:rFonts w:cs="Calibri"/>
          <w:sz w:val="20"/>
          <w:szCs w:val="20"/>
        </w:rPr>
        <w:t xml:space="preserve"> que es propietario o que está autorizado por el(los) propietario(s) del 100% de las acciones y derechos del predio para utilizar el(los) terreno(s) superficial(es) donde se realizará la actividad de beneficio. Y si bien la información presentada se presume cierta, estos podrán ser objeto de verificación posterior, conforme a ley.</w:t>
      </w:r>
    </w:p>
    <w:p w:rsidR="00BA4965" w:rsidRPr="00277E67" w:rsidRDefault="00BA4965" w:rsidP="00902035">
      <w:pPr>
        <w:pStyle w:val="Prrafodelista"/>
        <w:spacing w:after="0" w:line="280" w:lineRule="exact"/>
        <w:ind w:left="426"/>
        <w:jc w:val="both"/>
        <w:rPr>
          <w:rFonts w:cs="Calibri"/>
          <w:sz w:val="20"/>
          <w:szCs w:val="20"/>
        </w:rPr>
      </w:pPr>
    </w:p>
    <w:p w:rsidR="00BA4965" w:rsidRPr="00C1215F" w:rsidRDefault="00BA4965" w:rsidP="00902035">
      <w:pPr>
        <w:pStyle w:val="Prrafodelista"/>
        <w:numPr>
          <w:ilvl w:val="1"/>
          <w:numId w:val="1"/>
        </w:numPr>
        <w:spacing w:after="0" w:line="280" w:lineRule="exact"/>
        <w:ind w:left="426" w:hanging="426"/>
        <w:jc w:val="both"/>
        <w:rPr>
          <w:rFonts w:cs="Calibri"/>
          <w:sz w:val="20"/>
          <w:szCs w:val="20"/>
        </w:rPr>
      </w:pPr>
      <w:r w:rsidRPr="00277E67">
        <w:rPr>
          <w:rFonts w:cs="Calibri"/>
          <w:sz w:val="20"/>
          <w:szCs w:val="20"/>
        </w:rPr>
        <w:t>Admitida a trámite la solicitud</w:t>
      </w:r>
      <w:r w:rsidR="009B1205">
        <w:rPr>
          <w:rFonts w:cs="Calibri"/>
          <w:sz w:val="20"/>
          <w:szCs w:val="20"/>
        </w:rPr>
        <w:t xml:space="preserve"> de otorgamiento de concesión de beneficio</w:t>
      </w:r>
      <w:r w:rsidRPr="00277E67">
        <w:rPr>
          <w:rFonts w:cs="Calibri"/>
          <w:sz w:val="20"/>
          <w:szCs w:val="20"/>
        </w:rPr>
        <w:t xml:space="preserve">, </w:t>
      </w:r>
      <w:r w:rsidRPr="00C1215F">
        <w:rPr>
          <w:rFonts w:cs="Calibri"/>
          <w:sz w:val="20"/>
          <w:szCs w:val="20"/>
        </w:rPr>
        <w:t xml:space="preserve">la autoridad debe verificar los requisitos establecidos en el artículo 35 del Reglamento de Procedimientos Mineros y determinar preliminarmente si el proyecto se encuentra o no dentro de los alcances de la Ley N° 29785 y su reglamento aprobado con Decreto Supremo N° 001-2012-MC, </w:t>
      </w:r>
      <w:r w:rsidR="009B1205" w:rsidRPr="00C1215F">
        <w:rPr>
          <w:rFonts w:cs="Calibri"/>
          <w:sz w:val="20"/>
          <w:szCs w:val="20"/>
        </w:rPr>
        <w:t xml:space="preserve">estableciéndose </w:t>
      </w:r>
      <w:r w:rsidRPr="00C1215F">
        <w:rPr>
          <w:rFonts w:cs="Calibri"/>
          <w:sz w:val="20"/>
          <w:szCs w:val="20"/>
        </w:rPr>
        <w:t>un plazo de siete (7) días hábiles de presentada la solicitud para que el solicitante reco</w:t>
      </w:r>
      <w:r w:rsidR="00902035" w:rsidRPr="00C1215F">
        <w:rPr>
          <w:rFonts w:cs="Calibri"/>
          <w:sz w:val="20"/>
          <w:szCs w:val="20"/>
        </w:rPr>
        <w:t xml:space="preserve">ja </w:t>
      </w:r>
      <w:r w:rsidRPr="00C1215F">
        <w:rPr>
          <w:rFonts w:cs="Calibri"/>
          <w:sz w:val="20"/>
          <w:szCs w:val="20"/>
        </w:rPr>
        <w:t xml:space="preserve">los avisos, dando así mayor impulso de oficio y predictibilidad a los procedimientos.  </w:t>
      </w:r>
    </w:p>
    <w:p w:rsidR="00BA4965" w:rsidRPr="00C1215F" w:rsidRDefault="00BA4965" w:rsidP="00902035">
      <w:pPr>
        <w:pStyle w:val="Prrafodelista"/>
        <w:spacing w:after="0" w:line="280" w:lineRule="exact"/>
        <w:rPr>
          <w:rFonts w:cs="Calibri"/>
          <w:sz w:val="20"/>
          <w:szCs w:val="20"/>
        </w:rPr>
      </w:pPr>
    </w:p>
    <w:p w:rsidR="00BA4965" w:rsidRPr="00C1215F" w:rsidRDefault="00902035" w:rsidP="00902035">
      <w:pPr>
        <w:pStyle w:val="Prrafodelista"/>
        <w:numPr>
          <w:ilvl w:val="1"/>
          <w:numId w:val="1"/>
        </w:numPr>
        <w:spacing w:after="0" w:line="280" w:lineRule="exact"/>
        <w:ind w:left="426" w:hanging="426"/>
        <w:jc w:val="both"/>
        <w:rPr>
          <w:rFonts w:cs="Calibri"/>
          <w:sz w:val="20"/>
          <w:szCs w:val="20"/>
        </w:rPr>
      </w:pPr>
      <w:r w:rsidRPr="00C1215F">
        <w:rPr>
          <w:rFonts w:cs="Calibri"/>
          <w:sz w:val="20"/>
          <w:szCs w:val="20"/>
        </w:rPr>
        <w:t>De igual manera, s</w:t>
      </w:r>
      <w:r w:rsidR="00BA4965" w:rsidRPr="00C1215F">
        <w:rPr>
          <w:rFonts w:cs="Calibri"/>
          <w:sz w:val="20"/>
          <w:szCs w:val="20"/>
        </w:rPr>
        <w:t>e reduce el</w:t>
      </w:r>
      <w:r w:rsidR="00C1215F" w:rsidRPr="00C1215F">
        <w:rPr>
          <w:rFonts w:cs="Calibri"/>
          <w:sz w:val="20"/>
          <w:szCs w:val="20"/>
        </w:rPr>
        <w:t xml:space="preserve"> plazo del procedimiento de otorgamiento de concesión de beneficio en tanto que el plazo para la entrega de los avisos publicación, a</w:t>
      </w:r>
      <w:r w:rsidR="00BA4965" w:rsidRPr="00C1215F">
        <w:rPr>
          <w:rFonts w:cs="Calibri"/>
          <w:sz w:val="20"/>
          <w:szCs w:val="20"/>
        </w:rPr>
        <w:t xml:space="preserve"> la autoridad minera</w:t>
      </w:r>
      <w:r w:rsidR="00C1215F" w:rsidRPr="00C1215F">
        <w:rPr>
          <w:rFonts w:cs="Calibri"/>
          <w:sz w:val="20"/>
          <w:szCs w:val="20"/>
        </w:rPr>
        <w:t xml:space="preserve"> se reduce </w:t>
      </w:r>
      <w:r w:rsidR="00BA4965" w:rsidRPr="00C1215F">
        <w:rPr>
          <w:rFonts w:cs="Calibri"/>
          <w:sz w:val="20"/>
          <w:szCs w:val="20"/>
        </w:rPr>
        <w:t>de treinta (</w:t>
      </w:r>
      <w:r w:rsidR="00C1215F" w:rsidRPr="00C1215F">
        <w:rPr>
          <w:rFonts w:cs="Calibri"/>
          <w:sz w:val="20"/>
          <w:szCs w:val="20"/>
        </w:rPr>
        <w:t xml:space="preserve">30) a quince (15) días hábiles. </w:t>
      </w:r>
      <w:r w:rsidR="00BA4965" w:rsidRPr="00C1215F">
        <w:rPr>
          <w:rFonts w:cs="Calibri"/>
          <w:sz w:val="20"/>
          <w:szCs w:val="20"/>
        </w:rPr>
        <w:t xml:space="preserve">El incumplimiento de dicho plazo conlleva a la autoridad a declarar el abandono de la solicitud.  </w:t>
      </w:r>
    </w:p>
    <w:p w:rsidR="00BA4965" w:rsidRPr="00C1215F" w:rsidRDefault="00BA4965" w:rsidP="00902035">
      <w:pPr>
        <w:pStyle w:val="Prrafodelista"/>
        <w:spacing w:after="0" w:line="280" w:lineRule="exact"/>
        <w:rPr>
          <w:rFonts w:cs="Calibri"/>
          <w:sz w:val="20"/>
          <w:szCs w:val="20"/>
        </w:rPr>
      </w:pPr>
    </w:p>
    <w:p w:rsidR="00BA4965" w:rsidRDefault="00C1215F" w:rsidP="00902035">
      <w:pPr>
        <w:pStyle w:val="Prrafodelista"/>
        <w:numPr>
          <w:ilvl w:val="1"/>
          <w:numId w:val="1"/>
        </w:numPr>
        <w:spacing w:after="0" w:line="280" w:lineRule="exact"/>
        <w:ind w:left="426" w:hanging="426"/>
        <w:jc w:val="both"/>
        <w:rPr>
          <w:rFonts w:cs="Calibri"/>
          <w:sz w:val="20"/>
          <w:szCs w:val="20"/>
        </w:rPr>
      </w:pPr>
      <w:r>
        <w:rPr>
          <w:rFonts w:cs="Calibri"/>
          <w:sz w:val="20"/>
          <w:szCs w:val="20"/>
        </w:rPr>
        <w:t xml:space="preserve">A efecto de acortar el cronograma de ejecución de los proyectos, </w:t>
      </w:r>
      <w:r w:rsidRPr="00C1215F">
        <w:rPr>
          <w:rFonts w:cs="Calibri"/>
          <w:sz w:val="20"/>
          <w:szCs w:val="20"/>
        </w:rPr>
        <w:t xml:space="preserve">el titular de actividad minera podrá iniciar obras preliminares </w:t>
      </w:r>
      <w:r>
        <w:rPr>
          <w:rFonts w:cs="Calibri"/>
          <w:sz w:val="20"/>
          <w:szCs w:val="20"/>
        </w:rPr>
        <w:t>antes de contar con la autorización de construcción siempre que</w:t>
      </w:r>
      <w:r w:rsidR="00603C9E">
        <w:rPr>
          <w:rFonts w:cs="Calibri"/>
          <w:sz w:val="20"/>
          <w:szCs w:val="20"/>
        </w:rPr>
        <w:t xml:space="preserve"> cuente con certificación ambiental, no se encuentre dentro de los alcances </w:t>
      </w:r>
      <w:r w:rsidR="00BA4965" w:rsidRPr="00C1215F">
        <w:rPr>
          <w:rFonts w:cs="Calibri"/>
          <w:sz w:val="20"/>
          <w:szCs w:val="20"/>
        </w:rPr>
        <w:t>de l</w:t>
      </w:r>
      <w:r w:rsidR="00603C9E">
        <w:rPr>
          <w:rFonts w:cs="Calibri"/>
          <w:sz w:val="20"/>
          <w:szCs w:val="20"/>
        </w:rPr>
        <w:t>a Ley N° 29785 y su reglamento y de no mediar oposición, previa comunicación a la Dirección General de Minería.</w:t>
      </w:r>
    </w:p>
    <w:p w:rsidR="00603C9E" w:rsidRPr="00603C9E" w:rsidRDefault="00603C9E" w:rsidP="00603C9E">
      <w:pPr>
        <w:pStyle w:val="Prrafodelista"/>
        <w:rPr>
          <w:rFonts w:cs="Calibri"/>
          <w:sz w:val="20"/>
          <w:szCs w:val="20"/>
        </w:rPr>
      </w:pPr>
    </w:p>
    <w:p w:rsidR="00603C9E" w:rsidRPr="00C1215F" w:rsidRDefault="00603C9E" w:rsidP="00603C9E">
      <w:pPr>
        <w:pStyle w:val="Prrafodelista"/>
        <w:spacing w:after="0" w:line="280" w:lineRule="exact"/>
        <w:ind w:left="426"/>
        <w:jc w:val="both"/>
        <w:rPr>
          <w:rFonts w:cs="Calibri"/>
          <w:sz w:val="20"/>
          <w:szCs w:val="20"/>
        </w:rPr>
      </w:pPr>
      <w:r>
        <w:rPr>
          <w:rFonts w:cs="Calibri"/>
          <w:sz w:val="20"/>
          <w:szCs w:val="20"/>
        </w:rPr>
        <w:t>Como ejemplo de obras preliminares tenemos entre otros, los siguientes:</w:t>
      </w:r>
    </w:p>
    <w:p w:rsidR="0090338A" w:rsidRPr="00902035" w:rsidRDefault="0090338A" w:rsidP="00902035">
      <w:pPr>
        <w:pStyle w:val="Prrafodelista"/>
        <w:spacing w:after="0" w:line="280" w:lineRule="exact"/>
        <w:ind w:left="426"/>
        <w:contextualSpacing w:val="0"/>
        <w:jc w:val="both"/>
        <w:rPr>
          <w:rFonts w:cs="Calibri"/>
          <w:sz w:val="20"/>
          <w:szCs w:val="20"/>
        </w:rPr>
      </w:pPr>
    </w:p>
    <w:tbl>
      <w:tblPr>
        <w:tblW w:w="7358" w:type="dxa"/>
        <w:jc w:val="center"/>
        <w:tblInd w:w="55" w:type="dxa"/>
        <w:tblCellMar>
          <w:left w:w="70" w:type="dxa"/>
          <w:right w:w="70" w:type="dxa"/>
        </w:tblCellMar>
        <w:tblLook w:val="04A0" w:firstRow="1" w:lastRow="0" w:firstColumn="1" w:lastColumn="0" w:noHBand="0" w:noVBand="1"/>
      </w:tblPr>
      <w:tblGrid>
        <w:gridCol w:w="3531"/>
        <w:gridCol w:w="3827"/>
      </w:tblGrid>
      <w:tr w:rsidR="0090338A" w:rsidRPr="00902035" w:rsidTr="00CA72DE">
        <w:trPr>
          <w:trHeight w:val="121"/>
          <w:jc w:val="center"/>
        </w:trPr>
        <w:tc>
          <w:tcPr>
            <w:tcW w:w="7358"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90338A" w:rsidRPr="00902035" w:rsidRDefault="0090338A" w:rsidP="00902035">
            <w:pPr>
              <w:spacing w:after="0" w:line="280" w:lineRule="exact"/>
              <w:jc w:val="center"/>
              <w:rPr>
                <w:b/>
                <w:sz w:val="20"/>
                <w:szCs w:val="20"/>
                <w:lang w:eastAsia="es-PE"/>
              </w:rPr>
            </w:pPr>
            <w:r w:rsidRPr="00902035">
              <w:rPr>
                <w:b/>
                <w:sz w:val="20"/>
                <w:szCs w:val="20"/>
                <w:lang w:eastAsia="es-PE"/>
              </w:rPr>
              <w:t>COMPONENTES </w:t>
            </w:r>
          </w:p>
        </w:tc>
      </w:tr>
      <w:tr w:rsidR="0090338A" w:rsidRPr="00902035" w:rsidTr="00CA72DE">
        <w:trPr>
          <w:trHeight w:val="121"/>
          <w:jc w:val="center"/>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rsidR="0090338A" w:rsidRPr="00902035" w:rsidRDefault="0090338A" w:rsidP="00902035">
            <w:pPr>
              <w:spacing w:after="0" w:line="280" w:lineRule="exact"/>
              <w:ind w:left="78"/>
              <w:jc w:val="center"/>
              <w:rPr>
                <w:sz w:val="20"/>
                <w:szCs w:val="20"/>
                <w:lang w:eastAsia="es-PE"/>
              </w:rPr>
            </w:pPr>
            <w:r w:rsidRPr="00902035">
              <w:rPr>
                <w:rFonts w:cs="Calibri"/>
                <w:sz w:val="20"/>
                <w:szCs w:val="20"/>
              </w:rPr>
              <w:t>Oficinas administrativas</w:t>
            </w:r>
          </w:p>
        </w:tc>
        <w:tc>
          <w:tcPr>
            <w:tcW w:w="3827" w:type="dxa"/>
            <w:tcBorders>
              <w:top w:val="nil"/>
              <w:left w:val="nil"/>
              <w:bottom w:val="single" w:sz="4" w:space="0" w:color="auto"/>
              <w:right w:val="single" w:sz="4" w:space="0" w:color="auto"/>
            </w:tcBorders>
            <w:shd w:val="clear" w:color="auto" w:fill="auto"/>
            <w:noWrap/>
            <w:vAlign w:val="bottom"/>
            <w:hideMark/>
          </w:tcPr>
          <w:p w:rsidR="0090338A" w:rsidRPr="00902035" w:rsidRDefault="0090338A" w:rsidP="00902035">
            <w:pPr>
              <w:spacing w:after="0" w:line="280" w:lineRule="exact"/>
              <w:ind w:left="78"/>
              <w:jc w:val="center"/>
              <w:rPr>
                <w:rFonts w:cs="Calibri"/>
                <w:sz w:val="20"/>
                <w:szCs w:val="20"/>
              </w:rPr>
            </w:pPr>
            <w:r w:rsidRPr="00902035">
              <w:rPr>
                <w:rFonts w:cs="Calibri"/>
                <w:sz w:val="20"/>
                <w:szCs w:val="20"/>
              </w:rPr>
              <w:t>Laboratorio</w:t>
            </w:r>
          </w:p>
        </w:tc>
      </w:tr>
      <w:tr w:rsidR="0090338A" w:rsidRPr="00902035" w:rsidTr="00CA72DE">
        <w:trPr>
          <w:trHeight w:val="121"/>
          <w:jc w:val="center"/>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rsidR="0090338A" w:rsidRPr="00902035" w:rsidRDefault="0090338A" w:rsidP="00902035">
            <w:pPr>
              <w:spacing w:after="0" w:line="280" w:lineRule="exact"/>
              <w:ind w:left="78"/>
              <w:jc w:val="center"/>
              <w:rPr>
                <w:sz w:val="20"/>
                <w:szCs w:val="20"/>
                <w:lang w:eastAsia="es-PE"/>
              </w:rPr>
            </w:pPr>
            <w:r w:rsidRPr="00902035">
              <w:rPr>
                <w:rFonts w:cs="Calibri"/>
                <w:sz w:val="20"/>
                <w:szCs w:val="20"/>
              </w:rPr>
              <w:t>Campamentos</w:t>
            </w:r>
          </w:p>
        </w:tc>
        <w:tc>
          <w:tcPr>
            <w:tcW w:w="3827" w:type="dxa"/>
            <w:tcBorders>
              <w:top w:val="nil"/>
              <w:left w:val="nil"/>
              <w:bottom w:val="single" w:sz="4" w:space="0" w:color="auto"/>
              <w:right w:val="single" w:sz="4" w:space="0" w:color="auto"/>
            </w:tcBorders>
            <w:shd w:val="clear" w:color="auto" w:fill="auto"/>
            <w:noWrap/>
            <w:vAlign w:val="bottom"/>
            <w:hideMark/>
          </w:tcPr>
          <w:p w:rsidR="0090338A" w:rsidRPr="00902035" w:rsidRDefault="0090338A" w:rsidP="00902035">
            <w:pPr>
              <w:spacing w:after="0" w:line="280" w:lineRule="exact"/>
              <w:ind w:left="78"/>
              <w:jc w:val="center"/>
              <w:rPr>
                <w:rFonts w:cs="Calibri"/>
                <w:sz w:val="20"/>
                <w:szCs w:val="20"/>
              </w:rPr>
            </w:pPr>
            <w:r w:rsidRPr="00902035">
              <w:rPr>
                <w:rFonts w:cs="Calibri"/>
                <w:sz w:val="20"/>
                <w:szCs w:val="20"/>
              </w:rPr>
              <w:t>Garitas de control</w:t>
            </w:r>
          </w:p>
        </w:tc>
      </w:tr>
      <w:tr w:rsidR="0090338A" w:rsidRPr="00902035" w:rsidTr="00CA72DE">
        <w:trPr>
          <w:trHeight w:val="121"/>
          <w:jc w:val="center"/>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rsidR="0090338A" w:rsidRPr="00902035" w:rsidRDefault="0090338A" w:rsidP="00902035">
            <w:pPr>
              <w:spacing w:after="0" w:line="280" w:lineRule="exact"/>
              <w:ind w:left="78"/>
              <w:jc w:val="center"/>
              <w:rPr>
                <w:rFonts w:cs="Calibri"/>
                <w:sz w:val="20"/>
                <w:szCs w:val="20"/>
              </w:rPr>
            </w:pPr>
            <w:r w:rsidRPr="00902035">
              <w:rPr>
                <w:rFonts w:cs="Calibri"/>
                <w:sz w:val="20"/>
                <w:szCs w:val="20"/>
              </w:rPr>
              <w:t>Movimientos de tierras</w:t>
            </w:r>
          </w:p>
        </w:tc>
        <w:tc>
          <w:tcPr>
            <w:tcW w:w="3827" w:type="dxa"/>
            <w:tcBorders>
              <w:top w:val="nil"/>
              <w:left w:val="nil"/>
              <w:bottom w:val="single" w:sz="4" w:space="0" w:color="auto"/>
              <w:right w:val="single" w:sz="4" w:space="0" w:color="auto"/>
            </w:tcBorders>
            <w:shd w:val="clear" w:color="auto" w:fill="auto"/>
            <w:noWrap/>
            <w:vAlign w:val="bottom"/>
            <w:hideMark/>
          </w:tcPr>
          <w:p w:rsidR="0090338A" w:rsidRPr="00902035" w:rsidRDefault="0090338A" w:rsidP="00902035">
            <w:pPr>
              <w:spacing w:after="0" w:line="280" w:lineRule="exact"/>
              <w:ind w:left="78"/>
              <w:jc w:val="center"/>
              <w:rPr>
                <w:rFonts w:cs="Calibri"/>
                <w:sz w:val="20"/>
                <w:szCs w:val="20"/>
              </w:rPr>
            </w:pPr>
            <w:r w:rsidRPr="00902035">
              <w:rPr>
                <w:rFonts w:cs="Calibri"/>
                <w:sz w:val="20"/>
                <w:szCs w:val="20"/>
              </w:rPr>
              <w:t>Almacenes para etapa de construcción</w:t>
            </w:r>
          </w:p>
        </w:tc>
      </w:tr>
      <w:tr w:rsidR="00B937BD" w:rsidRPr="00B937BD" w:rsidTr="00CA72DE">
        <w:trPr>
          <w:trHeight w:val="121"/>
          <w:jc w:val="center"/>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rsidR="0090338A" w:rsidRPr="00B937BD" w:rsidRDefault="0090338A" w:rsidP="00902035">
            <w:pPr>
              <w:spacing w:after="0" w:line="280" w:lineRule="exact"/>
              <w:ind w:left="78"/>
              <w:jc w:val="center"/>
              <w:rPr>
                <w:rFonts w:cs="Calibri"/>
                <w:sz w:val="20"/>
                <w:szCs w:val="20"/>
              </w:rPr>
            </w:pPr>
            <w:r w:rsidRPr="00B937BD">
              <w:rPr>
                <w:rFonts w:cs="Calibri"/>
                <w:sz w:val="20"/>
                <w:szCs w:val="20"/>
              </w:rPr>
              <w:t>Construcción de plataformas</w:t>
            </w:r>
          </w:p>
        </w:tc>
        <w:tc>
          <w:tcPr>
            <w:tcW w:w="3827" w:type="dxa"/>
            <w:tcBorders>
              <w:top w:val="nil"/>
              <w:left w:val="nil"/>
              <w:bottom w:val="single" w:sz="4" w:space="0" w:color="auto"/>
              <w:right w:val="single" w:sz="4" w:space="0" w:color="auto"/>
            </w:tcBorders>
            <w:shd w:val="clear" w:color="auto" w:fill="auto"/>
            <w:noWrap/>
            <w:vAlign w:val="bottom"/>
            <w:hideMark/>
          </w:tcPr>
          <w:p w:rsidR="0090338A" w:rsidRPr="00B937BD" w:rsidRDefault="0090338A" w:rsidP="00902035">
            <w:pPr>
              <w:spacing w:after="0" w:line="280" w:lineRule="exact"/>
              <w:ind w:left="78"/>
              <w:jc w:val="center"/>
              <w:rPr>
                <w:rFonts w:cs="Calibri"/>
                <w:sz w:val="20"/>
                <w:szCs w:val="20"/>
              </w:rPr>
            </w:pPr>
            <w:r w:rsidRPr="00B937BD">
              <w:rPr>
                <w:rFonts w:cs="Calibri"/>
                <w:sz w:val="20"/>
                <w:szCs w:val="20"/>
              </w:rPr>
              <w:t>Estacionamientos</w:t>
            </w:r>
          </w:p>
        </w:tc>
      </w:tr>
      <w:tr w:rsidR="00B937BD" w:rsidRPr="00B937BD" w:rsidTr="00CA72DE">
        <w:trPr>
          <w:trHeight w:val="121"/>
          <w:jc w:val="center"/>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rsidR="0090338A" w:rsidRPr="00B937BD" w:rsidRDefault="0090338A" w:rsidP="00902035">
            <w:pPr>
              <w:spacing w:after="0" w:line="280" w:lineRule="exact"/>
              <w:ind w:left="78"/>
              <w:jc w:val="center"/>
              <w:rPr>
                <w:rFonts w:cs="Calibri"/>
                <w:sz w:val="20"/>
                <w:szCs w:val="20"/>
              </w:rPr>
            </w:pPr>
            <w:r w:rsidRPr="00B937BD">
              <w:rPr>
                <w:rFonts w:cs="Calibri"/>
                <w:sz w:val="20"/>
                <w:szCs w:val="20"/>
              </w:rPr>
              <w:t>Accesos</w:t>
            </w:r>
          </w:p>
        </w:tc>
        <w:tc>
          <w:tcPr>
            <w:tcW w:w="3827" w:type="dxa"/>
            <w:tcBorders>
              <w:top w:val="nil"/>
              <w:left w:val="nil"/>
              <w:bottom w:val="single" w:sz="4" w:space="0" w:color="auto"/>
              <w:right w:val="single" w:sz="4" w:space="0" w:color="auto"/>
            </w:tcBorders>
            <w:shd w:val="clear" w:color="auto" w:fill="auto"/>
            <w:noWrap/>
            <w:vAlign w:val="bottom"/>
            <w:hideMark/>
          </w:tcPr>
          <w:p w:rsidR="0090338A" w:rsidRPr="00B937BD" w:rsidRDefault="0090338A" w:rsidP="00902035">
            <w:pPr>
              <w:spacing w:after="0" w:line="280" w:lineRule="exact"/>
              <w:ind w:left="78"/>
              <w:jc w:val="center"/>
              <w:rPr>
                <w:rFonts w:cs="Calibri"/>
                <w:sz w:val="20"/>
                <w:szCs w:val="20"/>
              </w:rPr>
            </w:pPr>
            <w:r w:rsidRPr="00B937BD">
              <w:rPr>
                <w:rFonts w:cs="Calibri"/>
                <w:sz w:val="20"/>
                <w:szCs w:val="20"/>
              </w:rPr>
              <w:t>Drenajes</w:t>
            </w:r>
          </w:p>
        </w:tc>
      </w:tr>
      <w:tr w:rsidR="00B937BD" w:rsidRPr="00B937BD" w:rsidTr="00CA72DE">
        <w:trPr>
          <w:trHeight w:val="121"/>
          <w:jc w:val="center"/>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rsidR="0090338A" w:rsidRPr="00B937BD" w:rsidRDefault="0090338A" w:rsidP="00902035">
            <w:pPr>
              <w:spacing w:after="0" w:line="280" w:lineRule="exact"/>
              <w:ind w:left="78"/>
              <w:jc w:val="center"/>
              <w:rPr>
                <w:rFonts w:cs="Calibri"/>
                <w:sz w:val="20"/>
                <w:szCs w:val="20"/>
              </w:rPr>
            </w:pPr>
            <w:r w:rsidRPr="00B937BD">
              <w:rPr>
                <w:rFonts w:cs="Calibri"/>
                <w:sz w:val="20"/>
                <w:szCs w:val="20"/>
              </w:rPr>
              <w:t>Preparación de material de cantera</w:t>
            </w:r>
          </w:p>
        </w:tc>
        <w:tc>
          <w:tcPr>
            <w:tcW w:w="3827" w:type="dxa"/>
            <w:tcBorders>
              <w:top w:val="nil"/>
              <w:left w:val="nil"/>
              <w:bottom w:val="single" w:sz="4" w:space="0" w:color="auto"/>
              <w:right w:val="single" w:sz="4" w:space="0" w:color="auto"/>
            </w:tcBorders>
            <w:shd w:val="clear" w:color="auto" w:fill="auto"/>
            <w:noWrap/>
            <w:vAlign w:val="bottom"/>
            <w:hideMark/>
          </w:tcPr>
          <w:p w:rsidR="0090338A" w:rsidRPr="00B937BD" w:rsidRDefault="0090338A" w:rsidP="00902035">
            <w:pPr>
              <w:spacing w:after="0" w:line="280" w:lineRule="exact"/>
              <w:ind w:left="78"/>
              <w:jc w:val="center"/>
              <w:rPr>
                <w:rFonts w:cs="Calibri"/>
                <w:sz w:val="20"/>
                <w:szCs w:val="20"/>
              </w:rPr>
            </w:pPr>
            <w:r w:rsidRPr="00B937BD">
              <w:rPr>
                <w:rFonts w:cs="Calibri"/>
                <w:sz w:val="20"/>
                <w:szCs w:val="20"/>
              </w:rPr>
              <w:t>Muros para aislar áreas de trabajo</w:t>
            </w:r>
          </w:p>
        </w:tc>
      </w:tr>
      <w:tr w:rsidR="00B937BD" w:rsidRPr="00B937BD" w:rsidTr="00CA72DE">
        <w:trPr>
          <w:trHeight w:val="121"/>
          <w:jc w:val="center"/>
        </w:trPr>
        <w:tc>
          <w:tcPr>
            <w:tcW w:w="3531" w:type="dxa"/>
            <w:tcBorders>
              <w:top w:val="nil"/>
              <w:left w:val="single" w:sz="4" w:space="0" w:color="auto"/>
              <w:bottom w:val="single" w:sz="4" w:space="0" w:color="auto"/>
              <w:right w:val="single" w:sz="4" w:space="0" w:color="auto"/>
            </w:tcBorders>
            <w:shd w:val="clear" w:color="auto" w:fill="auto"/>
            <w:noWrap/>
            <w:vAlign w:val="bottom"/>
            <w:hideMark/>
          </w:tcPr>
          <w:p w:rsidR="0090338A" w:rsidRPr="00B937BD" w:rsidRDefault="0090338A" w:rsidP="00902035">
            <w:pPr>
              <w:spacing w:after="0" w:line="280" w:lineRule="exact"/>
              <w:ind w:left="78"/>
              <w:jc w:val="center"/>
              <w:rPr>
                <w:rFonts w:cs="Calibri"/>
                <w:sz w:val="20"/>
                <w:szCs w:val="20"/>
              </w:rPr>
            </w:pPr>
            <w:r w:rsidRPr="00B937BD">
              <w:rPr>
                <w:rFonts w:cs="Calibri"/>
                <w:sz w:val="20"/>
                <w:szCs w:val="20"/>
              </w:rPr>
              <w:t>Talleres de mantenimiento</w:t>
            </w:r>
          </w:p>
        </w:tc>
        <w:tc>
          <w:tcPr>
            <w:tcW w:w="3827" w:type="dxa"/>
            <w:tcBorders>
              <w:top w:val="nil"/>
              <w:left w:val="nil"/>
              <w:bottom w:val="single" w:sz="4" w:space="0" w:color="auto"/>
              <w:right w:val="single" w:sz="4" w:space="0" w:color="auto"/>
            </w:tcBorders>
            <w:shd w:val="clear" w:color="auto" w:fill="auto"/>
            <w:noWrap/>
            <w:vAlign w:val="bottom"/>
            <w:hideMark/>
          </w:tcPr>
          <w:p w:rsidR="0090338A" w:rsidRPr="00B937BD" w:rsidRDefault="0090338A" w:rsidP="00902035">
            <w:pPr>
              <w:spacing w:after="0" w:line="280" w:lineRule="exact"/>
              <w:ind w:left="78"/>
              <w:jc w:val="center"/>
              <w:rPr>
                <w:rFonts w:cs="Calibri"/>
                <w:sz w:val="20"/>
                <w:szCs w:val="20"/>
              </w:rPr>
            </w:pPr>
            <w:r w:rsidRPr="00B937BD">
              <w:rPr>
                <w:rFonts w:cs="Calibri"/>
                <w:sz w:val="20"/>
                <w:szCs w:val="20"/>
              </w:rPr>
              <w:t>Instalaciones eléctricas preliminares</w:t>
            </w:r>
          </w:p>
        </w:tc>
      </w:tr>
    </w:tbl>
    <w:p w:rsidR="00BA4965" w:rsidRPr="00603C9E" w:rsidRDefault="00BA4965" w:rsidP="00603C9E">
      <w:pPr>
        <w:spacing w:after="0" w:line="280" w:lineRule="exact"/>
        <w:jc w:val="both"/>
        <w:rPr>
          <w:rFonts w:cs="Calibri"/>
          <w:sz w:val="20"/>
          <w:szCs w:val="20"/>
        </w:rPr>
      </w:pPr>
    </w:p>
    <w:p w:rsidR="00692457" w:rsidRDefault="00603C9E" w:rsidP="00692457">
      <w:pPr>
        <w:pStyle w:val="Prrafodelista"/>
        <w:numPr>
          <w:ilvl w:val="1"/>
          <w:numId w:val="1"/>
        </w:numPr>
        <w:spacing w:after="0" w:line="280" w:lineRule="exact"/>
        <w:ind w:left="426" w:hanging="426"/>
        <w:contextualSpacing w:val="0"/>
        <w:jc w:val="both"/>
        <w:rPr>
          <w:rFonts w:cs="Calibri"/>
          <w:sz w:val="20"/>
          <w:szCs w:val="20"/>
        </w:rPr>
      </w:pPr>
      <w:r>
        <w:rPr>
          <w:rFonts w:cs="Calibri"/>
          <w:sz w:val="20"/>
          <w:szCs w:val="20"/>
        </w:rPr>
        <w:t>Presentado e</w:t>
      </w:r>
      <w:r w:rsidR="00BA4965" w:rsidRPr="00B937BD">
        <w:rPr>
          <w:rFonts w:cs="Calibri"/>
          <w:sz w:val="20"/>
          <w:szCs w:val="20"/>
        </w:rPr>
        <w:t>l CIRA o PMA y</w:t>
      </w:r>
      <w:r>
        <w:rPr>
          <w:rFonts w:cs="Calibri"/>
          <w:sz w:val="20"/>
          <w:szCs w:val="20"/>
        </w:rPr>
        <w:t xml:space="preserve"> aprobado el instrumento de gestión ambiental, la Dirección General de Minería</w:t>
      </w:r>
      <w:r w:rsidR="00BA4965" w:rsidRPr="00B937BD">
        <w:rPr>
          <w:rFonts w:cs="Calibri"/>
          <w:sz w:val="20"/>
          <w:szCs w:val="20"/>
        </w:rPr>
        <w:t xml:space="preserve"> </w:t>
      </w:r>
      <w:r>
        <w:rPr>
          <w:rFonts w:cs="Calibri"/>
          <w:sz w:val="20"/>
          <w:szCs w:val="20"/>
        </w:rPr>
        <w:t>en el plazo de</w:t>
      </w:r>
      <w:r w:rsidRPr="00B937BD">
        <w:rPr>
          <w:rFonts w:cs="Calibri"/>
          <w:sz w:val="20"/>
          <w:szCs w:val="20"/>
        </w:rPr>
        <w:t xml:space="preserve"> 20 días hábiles</w:t>
      </w:r>
      <w:r>
        <w:rPr>
          <w:rFonts w:cs="Calibri"/>
          <w:sz w:val="20"/>
          <w:szCs w:val="20"/>
        </w:rPr>
        <w:t xml:space="preserve">, </w:t>
      </w:r>
      <w:r w:rsidRPr="00B937BD">
        <w:rPr>
          <w:rFonts w:cs="Calibri"/>
          <w:sz w:val="20"/>
          <w:szCs w:val="20"/>
        </w:rPr>
        <w:t>autoriza</w:t>
      </w:r>
      <w:r w:rsidRPr="00B937BD">
        <w:rPr>
          <w:rFonts w:cs="Calibri"/>
          <w:sz w:val="20"/>
          <w:szCs w:val="20"/>
        </w:rPr>
        <w:t xml:space="preserve"> </w:t>
      </w:r>
      <w:r w:rsidRPr="00B937BD">
        <w:rPr>
          <w:rFonts w:cs="Calibri"/>
          <w:sz w:val="20"/>
          <w:szCs w:val="20"/>
        </w:rPr>
        <w:t xml:space="preserve">el </w:t>
      </w:r>
      <w:r w:rsidRPr="00124684">
        <w:rPr>
          <w:rFonts w:cs="Calibri"/>
          <w:sz w:val="20"/>
          <w:szCs w:val="20"/>
        </w:rPr>
        <w:t>proyecto minero de la concesión de beneficio o su modificación y autoriza la construcción de l</w:t>
      </w:r>
      <w:r w:rsidRPr="00B937BD">
        <w:rPr>
          <w:rFonts w:cs="Calibri"/>
          <w:sz w:val="20"/>
          <w:szCs w:val="20"/>
        </w:rPr>
        <w:t>a planta, los depósitos de relaves y/o plataformas (PAD) de lixiviación y otros componentes</w:t>
      </w:r>
      <w:r>
        <w:rPr>
          <w:rFonts w:cs="Calibri"/>
          <w:sz w:val="20"/>
          <w:szCs w:val="20"/>
        </w:rPr>
        <w:t>.</w:t>
      </w:r>
      <w:r w:rsidR="00BA4965" w:rsidRPr="00B937BD">
        <w:rPr>
          <w:rFonts w:cs="Calibri"/>
          <w:b/>
          <w:sz w:val="20"/>
          <w:szCs w:val="20"/>
        </w:rPr>
        <w:t xml:space="preserve"> </w:t>
      </w:r>
      <w:r w:rsidR="00BA4965" w:rsidRPr="00B937BD">
        <w:rPr>
          <w:rFonts w:cs="Calibri"/>
          <w:sz w:val="20"/>
          <w:szCs w:val="20"/>
        </w:rPr>
        <w:t xml:space="preserve">Se precisa que, la construcción y funcionamiento de los depósitos de relaves y/o plataformas (PAD) de lixiviación, podrá ser aprobada en más de una etapa. </w:t>
      </w:r>
    </w:p>
    <w:p w:rsidR="00BA4965" w:rsidRPr="00692457" w:rsidRDefault="00BA4965" w:rsidP="00692457">
      <w:pPr>
        <w:spacing w:after="0" w:line="280" w:lineRule="exact"/>
        <w:jc w:val="both"/>
        <w:rPr>
          <w:rFonts w:cs="Calibri"/>
          <w:sz w:val="20"/>
          <w:szCs w:val="20"/>
        </w:rPr>
      </w:pPr>
    </w:p>
    <w:p w:rsidR="00880B1E" w:rsidRPr="00880B1E" w:rsidRDefault="00880B1E" w:rsidP="00692457">
      <w:pPr>
        <w:pStyle w:val="Prrafodelista"/>
        <w:numPr>
          <w:ilvl w:val="1"/>
          <w:numId w:val="1"/>
        </w:numPr>
        <w:spacing w:after="0" w:line="280" w:lineRule="exact"/>
        <w:ind w:left="426" w:hanging="426"/>
        <w:jc w:val="both"/>
        <w:rPr>
          <w:rFonts w:cs="Arial"/>
          <w:sz w:val="20"/>
          <w:szCs w:val="20"/>
        </w:rPr>
      </w:pPr>
      <w:r>
        <w:rPr>
          <w:rFonts w:cs="Arial"/>
          <w:sz w:val="20"/>
          <w:szCs w:val="20"/>
        </w:rPr>
        <w:t>Con el fin de reflejar la realidad de las operaciones de beneficio, el artículo 37 del proyecto de decreto supremo señala que el titular de actividad minera puede iniciar, una vez concluida la ejecución de</w:t>
      </w:r>
      <w:r w:rsidR="00124684">
        <w:rPr>
          <w:rFonts w:cs="Arial"/>
          <w:sz w:val="20"/>
          <w:szCs w:val="20"/>
        </w:rPr>
        <w:t xml:space="preserve"> </w:t>
      </w:r>
      <w:r>
        <w:rPr>
          <w:rFonts w:cs="Arial"/>
          <w:sz w:val="20"/>
          <w:szCs w:val="20"/>
        </w:rPr>
        <w:t xml:space="preserve">la construcción del proyecto, actividades de </w:t>
      </w:r>
      <w:proofErr w:type="spellStart"/>
      <w:r>
        <w:rPr>
          <w:rFonts w:cs="Arial"/>
          <w:sz w:val="20"/>
          <w:szCs w:val="20"/>
        </w:rPr>
        <w:t>comisionamiento</w:t>
      </w:r>
      <w:proofErr w:type="spellEnd"/>
      <w:r>
        <w:rPr>
          <w:rFonts w:cs="Arial"/>
          <w:sz w:val="20"/>
          <w:szCs w:val="20"/>
        </w:rPr>
        <w:t>, acondicionamiento o pruebas durante un periodo que no exceda de dos meses. Dichas actividades deben ser comunicadas a la Dirección General de Minería y no constituye conformidad de obras.</w:t>
      </w:r>
    </w:p>
    <w:p w:rsidR="00880B1E" w:rsidRPr="00880B1E" w:rsidRDefault="00880B1E" w:rsidP="00880B1E">
      <w:pPr>
        <w:pStyle w:val="Prrafodelista"/>
        <w:rPr>
          <w:rFonts w:cs="Calibri"/>
          <w:sz w:val="20"/>
          <w:szCs w:val="20"/>
        </w:rPr>
      </w:pPr>
    </w:p>
    <w:p w:rsidR="00692457" w:rsidRDefault="00692457" w:rsidP="00692457">
      <w:pPr>
        <w:pStyle w:val="Prrafodelista"/>
        <w:numPr>
          <w:ilvl w:val="1"/>
          <w:numId w:val="1"/>
        </w:numPr>
        <w:spacing w:after="0" w:line="280" w:lineRule="exact"/>
        <w:ind w:left="426" w:hanging="426"/>
        <w:jc w:val="both"/>
        <w:rPr>
          <w:rFonts w:cs="Arial"/>
          <w:sz w:val="20"/>
          <w:szCs w:val="20"/>
        </w:rPr>
      </w:pPr>
      <w:r>
        <w:rPr>
          <w:rFonts w:cs="Calibri"/>
          <w:sz w:val="20"/>
          <w:szCs w:val="20"/>
        </w:rPr>
        <w:t>En el artículo 38 del proyecto de decreto supremo se dispone que el titular de actividad minera no requiere esperar a culminar la etapa de construcción para solicitar a</w:t>
      </w:r>
      <w:r w:rsidR="00BA4965" w:rsidRPr="00B937BD">
        <w:rPr>
          <w:rFonts w:cs="Calibri"/>
          <w:sz w:val="20"/>
          <w:szCs w:val="20"/>
        </w:rPr>
        <w:t xml:space="preserve"> la Dirección General de Minería la realización de una </w:t>
      </w:r>
      <w:r w:rsidR="00BA4965" w:rsidRPr="00692457">
        <w:rPr>
          <w:rFonts w:cs="Calibri"/>
          <w:sz w:val="20"/>
          <w:szCs w:val="20"/>
        </w:rPr>
        <w:t xml:space="preserve">inspección a fin de comprobar que la construcción e instalación de la </w:t>
      </w:r>
      <w:r w:rsidR="00BA4965" w:rsidRPr="00692457">
        <w:rPr>
          <w:rFonts w:cs="Calibri"/>
          <w:sz w:val="20"/>
          <w:szCs w:val="20"/>
        </w:rPr>
        <w:lastRenderedPageBreak/>
        <w:t>planta se han efectuado de conformidad con el proyecto aprobado</w:t>
      </w:r>
      <w:r>
        <w:rPr>
          <w:rFonts w:cs="Calibri"/>
          <w:sz w:val="20"/>
          <w:szCs w:val="20"/>
        </w:rPr>
        <w:t xml:space="preserve">, siempre </w:t>
      </w:r>
      <w:r w:rsidR="00124684">
        <w:rPr>
          <w:rFonts w:cs="Calibri"/>
          <w:sz w:val="20"/>
          <w:szCs w:val="20"/>
        </w:rPr>
        <w:t xml:space="preserve">y cuando éste </w:t>
      </w:r>
      <w:r w:rsidR="00BA4965" w:rsidRPr="00692457">
        <w:rPr>
          <w:rFonts w:cs="Calibri"/>
          <w:sz w:val="20"/>
          <w:szCs w:val="20"/>
        </w:rPr>
        <w:t>cumpla con su finalidad</w:t>
      </w:r>
      <w:r>
        <w:rPr>
          <w:rFonts w:cs="Calibri"/>
          <w:sz w:val="20"/>
          <w:szCs w:val="20"/>
        </w:rPr>
        <w:t xml:space="preserve"> conforme a la autorización de construcción y a la certificación ambiental.</w:t>
      </w:r>
      <w:r w:rsidRPr="00692457">
        <w:rPr>
          <w:rFonts w:cs="Arial"/>
          <w:sz w:val="20"/>
          <w:szCs w:val="20"/>
        </w:rPr>
        <w:t xml:space="preserve"> </w:t>
      </w:r>
    </w:p>
    <w:p w:rsidR="00692457" w:rsidRPr="00692457" w:rsidRDefault="00692457" w:rsidP="00692457">
      <w:pPr>
        <w:pStyle w:val="Prrafodelista"/>
        <w:rPr>
          <w:rFonts w:cs="Arial"/>
          <w:sz w:val="20"/>
          <w:szCs w:val="20"/>
        </w:rPr>
      </w:pPr>
    </w:p>
    <w:p w:rsidR="00677F73" w:rsidRPr="00124684" w:rsidRDefault="00124684" w:rsidP="00677F73">
      <w:pPr>
        <w:pStyle w:val="Prrafodelista"/>
        <w:numPr>
          <w:ilvl w:val="1"/>
          <w:numId w:val="1"/>
        </w:numPr>
        <w:spacing w:after="0" w:line="280" w:lineRule="exact"/>
        <w:ind w:left="426" w:hanging="426"/>
        <w:contextualSpacing w:val="0"/>
        <w:jc w:val="both"/>
        <w:rPr>
          <w:rFonts w:cs="Calibri"/>
          <w:sz w:val="20"/>
          <w:szCs w:val="20"/>
        </w:rPr>
      </w:pPr>
      <w:r w:rsidRPr="00124684">
        <w:rPr>
          <w:rFonts w:cs="Arial"/>
          <w:sz w:val="20"/>
          <w:szCs w:val="20"/>
        </w:rPr>
        <w:t>Respecto a la inspección, la casuística nos demuestra que la construcción e instalación de la planta, en muc</w:t>
      </w:r>
      <w:r w:rsidRPr="00124684">
        <w:rPr>
          <w:rFonts w:cs="Arial"/>
          <w:sz w:val="20"/>
          <w:szCs w:val="20"/>
        </w:rPr>
        <w:t>hos casos sin estar implementada en su totalidad, puede</w:t>
      </w:r>
      <w:r w:rsidRPr="00124684">
        <w:rPr>
          <w:rFonts w:cs="Arial"/>
          <w:sz w:val="20"/>
          <w:szCs w:val="20"/>
        </w:rPr>
        <w:t xml:space="preserve"> cumplir con la finalidad del proyecto, oportunidad en la cual la autoridad minera dispone recomendaciones de carácter técnico – legal, que al obrar en el expediente a través del acta, constituyen obligación legal. </w:t>
      </w:r>
    </w:p>
    <w:p w:rsidR="00124684" w:rsidRPr="00124684" w:rsidRDefault="00124684" w:rsidP="00124684">
      <w:pPr>
        <w:spacing w:after="0" w:line="280" w:lineRule="exact"/>
        <w:jc w:val="both"/>
        <w:rPr>
          <w:rFonts w:cs="Calibri"/>
          <w:sz w:val="20"/>
          <w:szCs w:val="20"/>
        </w:rPr>
      </w:pPr>
    </w:p>
    <w:p w:rsidR="00BA4965" w:rsidRPr="00124684" w:rsidRDefault="00124684" w:rsidP="00677F73">
      <w:pPr>
        <w:pStyle w:val="Prrafodelista"/>
        <w:numPr>
          <w:ilvl w:val="1"/>
          <w:numId w:val="1"/>
        </w:numPr>
        <w:spacing w:after="0" w:line="280" w:lineRule="exact"/>
        <w:ind w:left="426" w:hanging="426"/>
        <w:contextualSpacing w:val="0"/>
        <w:jc w:val="both"/>
        <w:rPr>
          <w:rFonts w:cs="Calibri"/>
          <w:sz w:val="20"/>
          <w:szCs w:val="20"/>
        </w:rPr>
      </w:pPr>
      <w:r>
        <w:rPr>
          <w:rFonts w:cs="Calibri"/>
          <w:sz w:val="20"/>
          <w:szCs w:val="20"/>
        </w:rPr>
        <w:t xml:space="preserve">En el artículo 38 del proyecto de decreto supremo se establece además que, </w:t>
      </w:r>
      <w:r w:rsidR="00BA4965" w:rsidRPr="00A313AD">
        <w:rPr>
          <w:rFonts w:cs="Calibri"/>
          <w:sz w:val="20"/>
          <w:szCs w:val="20"/>
        </w:rPr>
        <w:t>para el caso de las modificaciones de concesión de beneficio que no requieren la emisión de una nueva licencia de uso de agua ni una nueva autorización de vertimiento o modificar las existentes</w:t>
      </w:r>
      <w:r w:rsidR="00BA4965" w:rsidRPr="00124684">
        <w:rPr>
          <w:rFonts w:cs="Calibri"/>
          <w:sz w:val="20"/>
          <w:szCs w:val="20"/>
        </w:rPr>
        <w:t>, el titular de actividad minera puede iniciar operaciones desde la fecha en que solicita la inspección a la Dirección General de Minería o gobierno regional correspondiente, siempre que no se trate de depósitos de relaves y/o plataformas (PAD) de lixiviación, pozas de operación (grandes eventos, PLS, barren y sedimentación)</w:t>
      </w:r>
      <w:r>
        <w:rPr>
          <w:rFonts w:cs="Calibri"/>
          <w:sz w:val="20"/>
          <w:szCs w:val="20"/>
        </w:rPr>
        <w:t>.</w:t>
      </w:r>
    </w:p>
    <w:p w:rsidR="00677F73" w:rsidRPr="00A313AD" w:rsidRDefault="00677F73" w:rsidP="00677F73">
      <w:pPr>
        <w:spacing w:after="0" w:line="280" w:lineRule="exact"/>
        <w:jc w:val="both"/>
        <w:rPr>
          <w:rFonts w:cs="Calibri"/>
          <w:sz w:val="20"/>
          <w:szCs w:val="20"/>
        </w:rPr>
      </w:pPr>
    </w:p>
    <w:p w:rsidR="00BA4965" w:rsidRPr="00A313AD" w:rsidRDefault="00BA4965" w:rsidP="00677F73">
      <w:pPr>
        <w:pStyle w:val="Prrafodelista"/>
        <w:numPr>
          <w:ilvl w:val="1"/>
          <w:numId w:val="1"/>
        </w:numPr>
        <w:spacing w:after="0" w:line="280" w:lineRule="exact"/>
        <w:ind w:left="426" w:hanging="426"/>
        <w:contextualSpacing w:val="0"/>
        <w:jc w:val="both"/>
        <w:rPr>
          <w:rFonts w:cs="Calibri"/>
          <w:sz w:val="20"/>
          <w:szCs w:val="20"/>
        </w:rPr>
      </w:pPr>
      <w:r w:rsidRPr="00A313AD">
        <w:rPr>
          <w:rFonts w:cs="Calibri"/>
          <w:sz w:val="20"/>
          <w:szCs w:val="20"/>
        </w:rPr>
        <w:t xml:space="preserve">Sin embargo, </w:t>
      </w:r>
      <w:r w:rsidR="00124684">
        <w:rPr>
          <w:rFonts w:cs="Calibri"/>
          <w:sz w:val="20"/>
          <w:szCs w:val="20"/>
        </w:rPr>
        <w:t xml:space="preserve">en relación a lo señalado en el párrafo anterior, </w:t>
      </w:r>
      <w:r w:rsidRPr="00A313AD">
        <w:rPr>
          <w:rFonts w:cs="Calibri"/>
          <w:sz w:val="20"/>
          <w:szCs w:val="20"/>
        </w:rPr>
        <w:t>si durante la inspección se determin</w:t>
      </w:r>
      <w:r w:rsidR="00124684">
        <w:rPr>
          <w:rFonts w:cs="Calibri"/>
          <w:sz w:val="20"/>
          <w:szCs w:val="20"/>
        </w:rPr>
        <w:t>an observaciones significativas</w:t>
      </w:r>
      <w:r w:rsidRPr="00A313AD">
        <w:rPr>
          <w:rFonts w:cs="Calibri"/>
          <w:sz w:val="20"/>
          <w:szCs w:val="20"/>
        </w:rPr>
        <w:t xml:space="preserve"> debido a cambios entre la ingeniería aprobada en la autorización de construcción y lo construido</w:t>
      </w:r>
      <w:r w:rsidR="002A75D0">
        <w:rPr>
          <w:rFonts w:cs="Calibri"/>
          <w:sz w:val="20"/>
          <w:szCs w:val="20"/>
        </w:rPr>
        <w:t>,</w:t>
      </w:r>
      <w:r w:rsidRPr="00A313AD">
        <w:rPr>
          <w:rFonts w:cs="Calibri"/>
          <w:sz w:val="20"/>
          <w:szCs w:val="20"/>
        </w:rPr>
        <w:t xml:space="preserve"> que no hayan sido comunicadas en el procedimiento de otorgamiento de concesión de beneficio o sus modificatorias, la autoridad puede disponer la </w:t>
      </w:r>
      <w:r w:rsidR="002A75D0">
        <w:rPr>
          <w:rFonts w:cs="Calibri"/>
          <w:sz w:val="20"/>
          <w:szCs w:val="20"/>
        </w:rPr>
        <w:t>paralización de las operaciones</w:t>
      </w:r>
      <w:r w:rsidRPr="00A313AD">
        <w:rPr>
          <w:rFonts w:cs="Calibri"/>
          <w:sz w:val="20"/>
          <w:szCs w:val="20"/>
        </w:rPr>
        <w:t xml:space="preserve"> hasta que el titular de la actividad minera presente el sustento correspondiente a los cambios y éste sea aprobado</w:t>
      </w:r>
      <w:r w:rsidR="002A75D0">
        <w:rPr>
          <w:rFonts w:cs="Calibri"/>
          <w:sz w:val="20"/>
          <w:szCs w:val="20"/>
        </w:rPr>
        <w:t>. Dicha paralización debe</w:t>
      </w:r>
      <w:r w:rsidRPr="00A313AD">
        <w:rPr>
          <w:rFonts w:cs="Calibri"/>
          <w:sz w:val="20"/>
          <w:szCs w:val="20"/>
        </w:rPr>
        <w:t xml:space="preserve"> ser comunicada a OSINERGMIN para los fines de su competencia. </w:t>
      </w:r>
    </w:p>
    <w:p w:rsidR="00677F73" w:rsidRPr="00A313AD" w:rsidRDefault="00677F73" w:rsidP="00677F73">
      <w:pPr>
        <w:spacing w:after="0" w:line="280" w:lineRule="exact"/>
        <w:jc w:val="both"/>
        <w:rPr>
          <w:rFonts w:cs="Calibri"/>
          <w:sz w:val="20"/>
          <w:szCs w:val="20"/>
        </w:rPr>
      </w:pPr>
    </w:p>
    <w:p w:rsidR="00BA4965" w:rsidRPr="00A313AD" w:rsidRDefault="002A75D0" w:rsidP="00677F73">
      <w:pPr>
        <w:pStyle w:val="Prrafodelista"/>
        <w:numPr>
          <w:ilvl w:val="1"/>
          <w:numId w:val="1"/>
        </w:numPr>
        <w:spacing w:after="0" w:line="280" w:lineRule="exact"/>
        <w:ind w:left="426" w:hanging="426"/>
        <w:contextualSpacing w:val="0"/>
        <w:jc w:val="both"/>
        <w:rPr>
          <w:rFonts w:cs="Calibri"/>
          <w:sz w:val="20"/>
          <w:szCs w:val="20"/>
        </w:rPr>
      </w:pPr>
      <w:r>
        <w:rPr>
          <w:rFonts w:cs="Calibri"/>
          <w:sz w:val="20"/>
          <w:szCs w:val="20"/>
        </w:rPr>
        <w:t>Asimismo, de acuerdo a la</w:t>
      </w:r>
      <w:r w:rsidR="00BA4965" w:rsidRPr="00A313AD">
        <w:rPr>
          <w:rFonts w:cs="Calibri"/>
          <w:sz w:val="20"/>
          <w:szCs w:val="20"/>
        </w:rPr>
        <w:t xml:space="preserve"> casuística presentada, se ha visto conveniente </w:t>
      </w:r>
      <w:r>
        <w:rPr>
          <w:rFonts w:cs="Calibri"/>
          <w:sz w:val="20"/>
          <w:szCs w:val="20"/>
        </w:rPr>
        <w:t>precisar</w:t>
      </w:r>
      <w:r w:rsidR="00BA4965" w:rsidRPr="00A313AD">
        <w:rPr>
          <w:rFonts w:cs="Calibri"/>
          <w:sz w:val="20"/>
          <w:szCs w:val="20"/>
        </w:rPr>
        <w:t xml:space="preserve"> a través de una Resolución Ministerial</w:t>
      </w:r>
      <w:r>
        <w:rPr>
          <w:rFonts w:cs="Calibri"/>
          <w:sz w:val="20"/>
          <w:szCs w:val="20"/>
        </w:rPr>
        <w:t>,</w:t>
      </w:r>
      <w:r w:rsidR="00BA4965" w:rsidRPr="00A313AD">
        <w:rPr>
          <w:rFonts w:cs="Calibri"/>
          <w:sz w:val="20"/>
          <w:szCs w:val="20"/>
        </w:rPr>
        <w:t xml:space="preserve"> aquellos casos en los que no se requiere iniciar un procedimiento de modificación de concesión de beneficio ni presentar un Informe Técnico Minero, siempre que</w:t>
      </w:r>
      <w:r>
        <w:rPr>
          <w:rFonts w:cs="Calibri"/>
          <w:sz w:val="20"/>
          <w:szCs w:val="20"/>
        </w:rPr>
        <w:t xml:space="preserve"> el proyecto a modificar</w:t>
      </w:r>
      <w:r w:rsidR="00BA4965" w:rsidRPr="00A313AD">
        <w:rPr>
          <w:rFonts w:cs="Calibri"/>
          <w:sz w:val="20"/>
          <w:szCs w:val="20"/>
        </w:rPr>
        <w:t>:</w:t>
      </w:r>
    </w:p>
    <w:p w:rsidR="00677F73" w:rsidRPr="00A313AD" w:rsidRDefault="00677F73" w:rsidP="00677F73">
      <w:pPr>
        <w:spacing w:after="0" w:line="280" w:lineRule="exact"/>
        <w:jc w:val="both"/>
        <w:rPr>
          <w:rFonts w:cs="Calibri"/>
          <w:sz w:val="20"/>
          <w:szCs w:val="20"/>
        </w:rPr>
      </w:pPr>
    </w:p>
    <w:p w:rsidR="00BA4965" w:rsidRPr="00A313AD" w:rsidRDefault="00BA4965" w:rsidP="00677F73">
      <w:pPr>
        <w:pStyle w:val="Prrafodelista"/>
        <w:numPr>
          <w:ilvl w:val="1"/>
          <w:numId w:val="7"/>
        </w:numPr>
        <w:spacing w:after="0" w:line="280" w:lineRule="exact"/>
        <w:ind w:left="1418" w:hanging="338"/>
        <w:contextualSpacing w:val="0"/>
        <w:jc w:val="both"/>
        <w:rPr>
          <w:rFonts w:cs="Calibri"/>
          <w:i/>
          <w:sz w:val="20"/>
          <w:szCs w:val="20"/>
        </w:rPr>
      </w:pPr>
      <w:r w:rsidRPr="00A313AD">
        <w:rPr>
          <w:rFonts w:cs="Calibri"/>
          <w:i/>
          <w:sz w:val="20"/>
          <w:szCs w:val="20"/>
        </w:rPr>
        <w:t xml:space="preserve">Cuente con la aprobación de alguna de las certificaciones ambientales siguientes: Estudio de Impacto Ambiental (EIA), Informe Técnico </w:t>
      </w:r>
      <w:proofErr w:type="spellStart"/>
      <w:r w:rsidRPr="00A313AD">
        <w:rPr>
          <w:rFonts w:cs="Calibri"/>
          <w:i/>
          <w:sz w:val="20"/>
          <w:szCs w:val="20"/>
        </w:rPr>
        <w:t>Sustentatorio</w:t>
      </w:r>
      <w:proofErr w:type="spellEnd"/>
      <w:r w:rsidRPr="00A313AD">
        <w:rPr>
          <w:rFonts w:cs="Calibri"/>
          <w:i/>
          <w:sz w:val="20"/>
          <w:szCs w:val="20"/>
        </w:rPr>
        <w:t xml:space="preserve"> (ITS), Modificación de Estudio de Impacto Ambiental (MEIA), Estudio de Impacto Ambiental </w:t>
      </w:r>
      <w:proofErr w:type="spellStart"/>
      <w:r w:rsidRPr="00A313AD">
        <w:rPr>
          <w:rFonts w:cs="Calibri"/>
          <w:i/>
          <w:sz w:val="20"/>
          <w:szCs w:val="20"/>
        </w:rPr>
        <w:t>semi</w:t>
      </w:r>
      <w:proofErr w:type="spellEnd"/>
      <w:r w:rsidRPr="00A313AD">
        <w:rPr>
          <w:rFonts w:cs="Calibri"/>
          <w:i/>
          <w:sz w:val="20"/>
          <w:szCs w:val="20"/>
        </w:rPr>
        <w:t xml:space="preserve"> detallado (</w:t>
      </w:r>
      <w:proofErr w:type="spellStart"/>
      <w:r w:rsidRPr="00A313AD">
        <w:rPr>
          <w:rFonts w:cs="Calibri"/>
          <w:i/>
          <w:sz w:val="20"/>
          <w:szCs w:val="20"/>
        </w:rPr>
        <w:t>EIAsd</w:t>
      </w:r>
      <w:proofErr w:type="spellEnd"/>
      <w:r w:rsidRPr="00A313AD">
        <w:rPr>
          <w:rFonts w:cs="Calibri"/>
          <w:i/>
          <w:sz w:val="20"/>
          <w:szCs w:val="20"/>
        </w:rPr>
        <w:t>) o Memorias Técnicas Detalladas (MTD);</w:t>
      </w:r>
    </w:p>
    <w:p w:rsidR="00BA4965" w:rsidRPr="00A313AD" w:rsidRDefault="002A75D0" w:rsidP="00677F73">
      <w:pPr>
        <w:pStyle w:val="Prrafodelista"/>
        <w:numPr>
          <w:ilvl w:val="1"/>
          <w:numId w:val="7"/>
        </w:numPr>
        <w:spacing w:after="0" w:line="280" w:lineRule="exact"/>
        <w:ind w:left="1418" w:hanging="338"/>
        <w:contextualSpacing w:val="0"/>
        <w:jc w:val="both"/>
        <w:rPr>
          <w:rFonts w:cs="Calibri"/>
          <w:i/>
          <w:sz w:val="20"/>
          <w:szCs w:val="20"/>
        </w:rPr>
      </w:pPr>
      <w:r>
        <w:rPr>
          <w:rFonts w:cs="Calibri"/>
          <w:i/>
          <w:sz w:val="20"/>
          <w:szCs w:val="20"/>
        </w:rPr>
        <w:t>Sea uno o más</w:t>
      </w:r>
      <w:r w:rsidR="00BA4965" w:rsidRPr="00A313AD">
        <w:rPr>
          <w:rFonts w:cs="Calibri"/>
          <w:i/>
          <w:sz w:val="20"/>
          <w:szCs w:val="20"/>
        </w:rPr>
        <w:t xml:space="preserve"> componentes auxiliares;</w:t>
      </w:r>
    </w:p>
    <w:p w:rsidR="00BA4965" w:rsidRPr="00A313AD" w:rsidRDefault="00BA4965" w:rsidP="00677F73">
      <w:pPr>
        <w:pStyle w:val="Prrafodelista"/>
        <w:numPr>
          <w:ilvl w:val="1"/>
          <w:numId w:val="7"/>
        </w:numPr>
        <w:spacing w:after="0" w:line="280" w:lineRule="exact"/>
        <w:ind w:left="1418" w:hanging="338"/>
        <w:contextualSpacing w:val="0"/>
        <w:jc w:val="both"/>
        <w:rPr>
          <w:rFonts w:cs="Calibri"/>
          <w:i/>
          <w:sz w:val="20"/>
          <w:szCs w:val="20"/>
        </w:rPr>
      </w:pPr>
      <w:r w:rsidRPr="00A313AD">
        <w:rPr>
          <w:rFonts w:cs="Calibri"/>
          <w:i/>
          <w:sz w:val="20"/>
          <w:szCs w:val="20"/>
        </w:rPr>
        <w:t>Sus componentes se encuentren dentro del área efectiva aprobada en la certificación ambiental original del proyecto y del área de la concesión de beneficio.</w:t>
      </w:r>
    </w:p>
    <w:p w:rsidR="00BA4965" w:rsidRPr="00A313AD" w:rsidRDefault="00BA4965" w:rsidP="00677F73">
      <w:pPr>
        <w:tabs>
          <w:tab w:val="left" w:pos="426"/>
        </w:tabs>
        <w:spacing w:after="0" w:line="280" w:lineRule="exact"/>
        <w:jc w:val="both"/>
        <w:rPr>
          <w:b/>
          <w:sz w:val="20"/>
          <w:szCs w:val="20"/>
        </w:rPr>
      </w:pPr>
    </w:p>
    <w:p w:rsidR="002B14C4" w:rsidRPr="00A313AD" w:rsidRDefault="00F60364" w:rsidP="00677F73">
      <w:pPr>
        <w:tabs>
          <w:tab w:val="left" w:pos="426"/>
        </w:tabs>
        <w:spacing w:after="0" w:line="280" w:lineRule="exact"/>
        <w:jc w:val="both"/>
        <w:rPr>
          <w:b/>
          <w:sz w:val="20"/>
          <w:szCs w:val="20"/>
          <w:u w:val="single"/>
        </w:rPr>
      </w:pPr>
      <w:r w:rsidRPr="00A313AD">
        <w:rPr>
          <w:b/>
          <w:sz w:val="20"/>
          <w:szCs w:val="20"/>
          <w:u w:val="single"/>
        </w:rPr>
        <w:t>Modificación del artículo 75 del Decreto Supremo N° 018-92-EM</w:t>
      </w:r>
      <w:r w:rsidR="002A75D0">
        <w:rPr>
          <w:b/>
          <w:sz w:val="20"/>
          <w:szCs w:val="20"/>
          <w:u w:val="single"/>
        </w:rPr>
        <w:t xml:space="preserve"> referido a la autorización de exploración</w:t>
      </w:r>
    </w:p>
    <w:p w:rsidR="008475BA" w:rsidRDefault="008475BA" w:rsidP="00DE507C">
      <w:pPr>
        <w:tabs>
          <w:tab w:val="left" w:pos="426"/>
        </w:tabs>
        <w:spacing w:after="0" w:line="280" w:lineRule="exact"/>
        <w:jc w:val="both"/>
        <w:rPr>
          <w:sz w:val="20"/>
          <w:szCs w:val="20"/>
        </w:rPr>
      </w:pPr>
    </w:p>
    <w:p w:rsidR="008475BA" w:rsidRDefault="002B14C4" w:rsidP="00DE507C">
      <w:pPr>
        <w:pStyle w:val="Prrafodelista"/>
        <w:numPr>
          <w:ilvl w:val="1"/>
          <w:numId w:val="1"/>
        </w:numPr>
        <w:tabs>
          <w:tab w:val="left" w:pos="426"/>
        </w:tabs>
        <w:spacing w:after="0" w:line="280" w:lineRule="exact"/>
        <w:ind w:left="426" w:hanging="426"/>
        <w:jc w:val="both"/>
        <w:rPr>
          <w:sz w:val="20"/>
          <w:szCs w:val="20"/>
        </w:rPr>
      </w:pPr>
      <w:r w:rsidRPr="008475BA">
        <w:rPr>
          <w:sz w:val="20"/>
          <w:szCs w:val="20"/>
        </w:rPr>
        <w:t>El artículo 75 del Decreto Supremo N° 018-92-EM</w:t>
      </w:r>
      <w:r w:rsidR="005E0A78">
        <w:rPr>
          <w:sz w:val="20"/>
          <w:szCs w:val="20"/>
        </w:rPr>
        <w:t>, modificado por Decreto Supr</w:t>
      </w:r>
      <w:r w:rsidR="00957AD4">
        <w:rPr>
          <w:sz w:val="20"/>
          <w:szCs w:val="20"/>
        </w:rPr>
        <w:t>emo</w:t>
      </w:r>
      <w:r w:rsidR="005E0A78">
        <w:rPr>
          <w:sz w:val="20"/>
          <w:szCs w:val="20"/>
        </w:rPr>
        <w:t xml:space="preserve">  N° 001-2015-EM, </w:t>
      </w:r>
      <w:r w:rsidRPr="008475BA">
        <w:rPr>
          <w:sz w:val="20"/>
          <w:szCs w:val="20"/>
        </w:rPr>
        <w:t xml:space="preserve">establece </w:t>
      </w:r>
      <w:r w:rsidR="00F60364" w:rsidRPr="008475BA">
        <w:rPr>
          <w:sz w:val="20"/>
          <w:szCs w:val="20"/>
        </w:rPr>
        <w:t xml:space="preserve">en su numeral 1 </w:t>
      </w:r>
      <w:r w:rsidRPr="008475BA">
        <w:rPr>
          <w:sz w:val="20"/>
          <w:szCs w:val="20"/>
        </w:rPr>
        <w:t>que para l</w:t>
      </w:r>
      <w:r w:rsidR="00325892" w:rsidRPr="008475BA">
        <w:rPr>
          <w:sz w:val="20"/>
          <w:szCs w:val="20"/>
        </w:rPr>
        <w:t xml:space="preserve">a obtención de la autorización de inicio de actividades de exploración, </w:t>
      </w:r>
      <w:r w:rsidRPr="008475BA">
        <w:rPr>
          <w:sz w:val="20"/>
          <w:szCs w:val="20"/>
        </w:rPr>
        <w:t>el titular minero</w:t>
      </w:r>
      <w:r w:rsidR="00F60364" w:rsidRPr="008475BA">
        <w:rPr>
          <w:sz w:val="20"/>
          <w:szCs w:val="20"/>
        </w:rPr>
        <w:t xml:space="preserve"> debe presentar</w:t>
      </w:r>
      <w:r w:rsidRPr="008475BA">
        <w:rPr>
          <w:sz w:val="20"/>
          <w:szCs w:val="20"/>
        </w:rPr>
        <w:t xml:space="preserve"> a la Dir</w:t>
      </w:r>
      <w:r w:rsidR="005E0A78">
        <w:rPr>
          <w:sz w:val="20"/>
          <w:szCs w:val="20"/>
        </w:rPr>
        <w:t>ección General de Minería o al Gobierno R</w:t>
      </w:r>
      <w:r w:rsidRPr="008475BA">
        <w:rPr>
          <w:sz w:val="20"/>
          <w:szCs w:val="20"/>
        </w:rPr>
        <w:t>egi</w:t>
      </w:r>
      <w:r w:rsidR="005E0A78">
        <w:rPr>
          <w:sz w:val="20"/>
          <w:szCs w:val="20"/>
        </w:rPr>
        <w:t>onal, según corresponda, requisitos</w:t>
      </w:r>
      <w:r w:rsidRPr="008475BA">
        <w:rPr>
          <w:sz w:val="20"/>
          <w:szCs w:val="20"/>
        </w:rPr>
        <w:t xml:space="preserve"> </w:t>
      </w:r>
      <w:r w:rsidR="005E0A78">
        <w:rPr>
          <w:sz w:val="20"/>
          <w:szCs w:val="20"/>
        </w:rPr>
        <w:t>técnicos</w:t>
      </w:r>
      <w:r w:rsidR="00F60364" w:rsidRPr="008475BA">
        <w:rPr>
          <w:sz w:val="20"/>
          <w:szCs w:val="20"/>
        </w:rPr>
        <w:t xml:space="preserve"> y legal</w:t>
      </w:r>
      <w:r w:rsidR="005E0A78">
        <w:rPr>
          <w:sz w:val="20"/>
          <w:szCs w:val="20"/>
        </w:rPr>
        <w:t xml:space="preserve">es que son </w:t>
      </w:r>
      <w:r w:rsidR="00F60364" w:rsidRPr="008475BA">
        <w:rPr>
          <w:sz w:val="20"/>
          <w:szCs w:val="20"/>
        </w:rPr>
        <w:t>evaluad</w:t>
      </w:r>
      <w:r w:rsidR="005E0A78">
        <w:rPr>
          <w:sz w:val="20"/>
          <w:szCs w:val="20"/>
        </w:rPr>
        <w:t>os</w:t>
      </w:r>
      <w:r w:rsidR="00F60364" w:rsidRPr="008475BA">
        <w:rPr>
          <w:sz w:val="20"/>
          <w:szCs w:val="20"/>
        </w:rPr>
        <w:t xml:space="preserve"> con la finalidad de </w:t>
      </w:r>
      <w:r w:rsidR="00325892" w:rsidRPr="008475BA">
        <w:rPr>
          <w:sz w:val="20"/>
          <w:szCs w:val="20"/>
        </w:rPr>
        <w:t xml:space="preserve">que en caso el administrado haya cumplido </w:t>
      </w:r>
      <w:r w:rsidR="005E0A78">
        <w:rPr>
          <w:sz w:val="20"/>
          <w:szCs w:val="20"/>
        </w:rPr>
        <w:t>los mismos</w:t>
      </w:r>
      <w:r w:rsidR="00325892" w:rsidRPr="008475BA">
        <w:rPr>
          <w:sz w:val="20"/>
          <w:szCs w:val="20"/>
        </w:rPr>
        <w:t xml:space="preserve"> se </w:t>
      </w:r>
      <w:r w:rsidR="00F60364" w:rsidRPr="008475BA">
        <w:rPr>
          <w:sz w:val="20"/>
          <w:szCs w:val="20"/>
        </w:rPr>
        <w:t>emit</w:t>
      </w:r>
      <w:r w:rsidR="00325892" w:rsidRPr="008475BA">
        <w:rPr>
          <w:sz w:val="20"/>
          <w:szCs w:val="20"/>
        </w:rPr>
        <w:t>a</w:t>
      </w:r>
      <w:r w:rsidR="00F60364" w:rsidRPr="008475BA">
        <w:rPr>
          <w:sz w:val="20"/>
          <w:szCs w:val="20"/>
        </w:rPr>
        <w:t xml:space="preserve"> </w:t>
      </w:r>
      <w:r w:rsidR="00325892" w:rsidRPr="008475BA">
        <w:rPr>
          <w:sz w:val="20"/>
          <w:szCs w:val="20"/>
        </w:rPr>
        <w:t>una</w:t>
      </w:r>
      <w:r w:rsidR="00F60364" w:rsidRPr="008475BA">
        <w:rPr>
          <w:sz w:val="20"/>
          <w:szCs w:val="20"/>
        </w:rPr>
        <w:t xml:space="preserve"> resolución autoritativa de</w:t>
      </w:r>
      <w:r w:rsidR="00F60364" w:rsidRPr="008475BA">
        <w:rPr>
          <w:rFonts w:cs="Arial"/>
          <w:sz w:val="20"/>
          <w:szCs w:val="20"/>
        </w:rPr>
        <w:t xml:space="preserve"> inicio de actividades mineras del proyecto de exploración.</w:t>
      </w:r>
      <w:r w:rsidR="00F60364" w:rsidRPr="008475BA">
        <w:rPr>
          <w:sz w:val="20"/>
          <w:szCs w:val="20"/>
        </w:rPr>
        <w:t xml:space="preserve"> </w:t>
      </w:r>
    </w:p>
    <w:p w:rsidR="008475BA" w:rsidRDefault="008475BA" w:rsidP="00DE507C">
      <w:pPr>
        <w:pStyle w:val="Prrafodelista"/>
        <w:tabs>
          <w:tab w:val="left" w:pos="426"/>
        </w:tabs>
        <w:spacing w:after="0" w:line="280" w:lineRule="exact"/>
        <w:ind w:left="426"/>
        <w:jc w:val="both"/>
        <w:rPr>
          <w:sz w:val="20"/>
          <w:szCs w:val="20"/>
        </w:rPr>
      </w:pPr>
    </w:p>
    <w:p w:rsidR="008475BA" w:rsidRPr="008475BA" w:rsidRDefault="00325892" w:rsidP="00DE507C">
      <w:pPr>
        <w:pStyle w:val="Prrafodelista"/>
        <w:numPr>
          <w:ilvl w:val="1"/>
          <w:numId w:val="1"/>
        </w:numPr>
        <w:tabs>
          <w:tab w:val="left" w:pos="426"/>
        </w:tabs>
        <w:spacing w:after="0" w:line="280" w:lineRule="exact"/>
        <w:ind w:left="426" w:hanging="426"/>
        <w:jc w:val="both"/>
        <w:rPr>
          <w:sz w:val="20"/>
          <w:szCs w:val="20"/>
        </w:rPr>
      </w:pPr>
      <w:r w:rsidRPr="008475BA">
        <w:rPr>
          <w:sz w:val="20"/>
          <w:szCs w:val="20"/>
        </w:rPr>
        <w:t>Al respecto, e</w:t>
      </w:r>
      <w:r w:rsidR="0029084C" w:rsidRPr="008475BA">
        <w:rPr>
          <w:sz w:val="20"/>
          <w:szCs w:val="20"/>
        </w:rPr>
        <w:t xml:space="preserve">l Texto Único Ordenado de la Ley N° 27444-Ley del Procedimiento Administrativo General, aprobado mediante Decreto Supremo N° 006-2017-JUS, establece en su artículo 31 que todos </w:t>
      </w:r>
      <w:r w:rsidR="0029084C" w:rsidRPr="008475BA">
        <w:rPr>
          <w:rFonts w:eastAsia="Times New Roman" w:cs="Arial"/>
          <w:color w:val="000000"/>
          <w:sz w:val="20"/>
          <w:szCs w:val="20"/>
          <w:lang w:eastAsia="es-PE"/>
        </w:rPr>
        <w:t xml:space="preserve">los procedimientos administrativos que, por exigencia legal, deben iniciar los administrados ante las entidades para satisfacer o ejercer sus intereses o derechos, se clasifican </w:t>
      </w:r>
      <w:r w:rsidR="005E0A78">
        <w:rPr>
          <w:rFonts w:eastAsia="Times New Roman" w:cs="Arial"/>
          <w:color w:val="000000"/>
          <w:sz w:val="20"/>
          <w:szCs w:val="20"/>
          <w:lang w:eastAsia="es-PE"/>
        </w:rPr>
        <w:t>en</w:t>
      </w:r>
      <w:r w:rsidR="0029084C" w:rsidRPr="008475BA">
        <w:rPr>
          <w:rFonts w:eastAsia="Times New Roman" w:cs="Arial"/>
          <w:color w:val="000000"/>
          <w:sz w:val="20"/>
          <w:szCs w:val="20"/>
          <w:lang w:eastAsia="es-PE"/>
        </w:rPr>
        <w:t xml:space="preserve"> </w:t>
      </w:r>
      <w:r w:rsidR="0029084C" w:rsidRPr="008475BA">
        <w:rPr>
          <w:rFonts w:eastAsia="Times New Roman" w:cs="Arial"/>
          <w:color w:val="000000"/>
          <w:sz w:val="20"/>
          <w:szCs w:val="20"/>
          <w:lang w:eastAsia="es-PE"/>
        </w:rPr>
        <w:lastRenderedPageBreak/>
        <w:t>procedimientos de aprobación automática o de evaluación previa, y este último a su vez sujeto, en caso de falta de pronunciamiento oportuno, a silenc</w:t>
      </w:r>
      <w:r w:rsidRPr="008475BA">
        <w:rPr>
          <w:rFonts w:eastAsia="Times New Roman" w:cs="Arial"/>
          <w:color w:val="000000"/>
          <w:sz w:val="20"/>
          <w:szCs w:val="20"/>
          <w:lang w:eastAsia="es-PE"/>
        </w:rPr>
        <w:t>io positivo o silencio negativo, precisando que c</w:t>
      </w:r>
      <w:r w:rsidR="0029084C" w:rsidRPr="008475BA">
        <w:rPr>
          <w:rFonts w:eastAsia="Times New Roman" w:cs="Arial"/>
          <w:color w:val="000000"/>
          <w:sz w:val="20"/>
          <w:szCs w:val="20"/>
          <w:lang w:eastAsia="es-PE"/>
        </w:rPr>
        <w:t xml:space="preserve">ada entidad </w:t>
      </w:r>
      <w:r w:rsidRPr="008475BA">
        <w:rPr>
          <w:rFonts w:eastAsia="Times New Roman" w:cs="Arial"/>
          <w:color w:val="000000"/>
          <w:sz w:val="20"/>
          <w:szCs w:val="20"/>
          <w:lang w:eastAsia="es-PE"/>
        </w:rPr>
        <w:t xml:space="preserve">deberá </w:t>
      </w:r>
      <w:r w:rsidR="0029084C" w:rsidRPr="008475BA">
        <w:rPr>
          <w:rFonts w:eastAsia="Times New Roman" w:cs="Arial"/>
          <w:color w:val="000000"/>
          <w:sz w:val="20"/>
          <w:szCs w:val="20"/>
          <w:lang w:eastAsia="es-PE"/>
        </w:rPr>
        <w:t>señala</w:t>
      </w:r>
      <w:r w:rsidRPr="008475BA">
        <w:rPr>
          <w:rFonts w:eastAsia="Times New Roman" w:cs="Arial"/>
          <w:color w:val="000000"/>
          <w:sz w:val="20"/>
          <w:szCs w:val="20"/>
          <w:lang w:eastAsia="es-PE"/>
        </w:rPr>
        <w:t>r</w:t>
      </w:r>
      <w:r w:rsidR="0029084C" w:rsidRPr="008475BA">
        <w:rPr>
          <w:rFonts w:eastAsia="Times New Roman" w:cs="Arial"/>
          <w:color w:val="000000"/>
          <w:sz w:val="20"/>
          <w:szCs w:val="20"/>
          <w:lang w:eastAsia="es-PE"/>
        </w:rPr>
        <w:t xml:space="preserve"> estos procedimientos en su Texto Único de Procedimientos Administrativos - TUPA.</w:t>
      </w:r>
      <w:r w:rsidRPr="008475BA">
        <w:rPr>
          <w:rFonts w:eastAsia="Times New Roman" w:cs="Arial"/>
          <w:color w:val="000000"/>
          <w:sz w:val="20"/>
          <w:szCs w:val="20"/>
          <w:lang w:eastAsia="es-PE"/>
        </w:rPr>
        <w:t xml:space="preserve"> </w:t>
      </w:r>
    </w:p>
    <w:p w:rsidR="008475BA" w:rsidRPr="008475BA" w:rsidRDefault="008475BA" w:rsidP="00DE507C">
      <w:pPr>
        <w:pStyle w:val="Prrafodelista"/>
        <w:spacing w:after="0" w:line="280" w:lineRule="exact"/>
        <w:rPr>
          <w:rFonts w:eastAsia="Times New Roman" w:cs="Arial"/>
          <w:color w:val="000000"/>
          <w:sz w:val="20"/>
          <w:szCs w:val="20"/>
          <w:lang w:eastAsia="es-PE"/>
        </w:rPr>
      </w:pPr>
    </w:p>
    <w:p w:rsidR="008475BA" w:rsidRPr="008475BA" w:rsidRDefault="00325892" w:rsidP="00DE507C">
      <w:pPr>
        <w:pStyle w:val="Prrafodelista"/>
        <w:numPr>
          <w:ilvl w:val="1"/>
          <w:numId w:val="1"/>
        </w:numPr>
        <w:tabs>
          <w:tab w:val="left" w:pos="426"/>
        </w:tabs>
        <w:spacing w:after="0" w:line="280" w:lineRule="exact"/>
        <w:ind w:left="426" w:hanging="426"/>
        <w:jc w:val="both"/>
        <w:rPr>
          <w:sz w:val="20"/>
          <w:szCs w:val="20"/>
        </w:rPr>
      </w:pPr>
      <w:r w:rsidRPr="008475BA">
        <w:rPr>
          <w:rFonts w:eastAsia="Times New Roman" w:cs="Arial"/>
          <w:color w:val="000000"/>
          <w:sz w:val="20"/>
          <w:szCs w:val="20"/>
          <w:lang w:eastAsia="es-PE"/>
        </w:rPr>
        <w:t xml:space="preserve">El numeral 32.1 del artículo 32 de la referida norma establece que </w:t>
      </w:r>
      <w:r w:rsidRPr="008475BA">
        <w:rPr>
          <w:rFonts w:cs="Arial"/>
          <w:color w:val="000000"/>
          <w:sz w:val="20"/>
          <w:szCs w:val="20"/>
          <w:shd w:val="clear" w:color="auto" w:fill="FFFFFF"/>
        </w:rPr>
        <w:t xml:space="preserve">en el procedimiento de aprobación automática, la solicitud es considerada aprobada desde el mismo momento de su presentación ante la entidad competente para conocerla, </w:t>
      </w:r>
      <w:r w:rsidRPr="005E0A78">
        <w:rPr>
          <w:rFonts w:cs="Arial"/>
          <w:color w:val="000000"/>
          <w:sz w:val="20"/>
          <w:szCs w:val="20"/>
          <w:shd w:val="clear" w:color="auto" w:fill="FFFFFF"/>
        </w:rPr>
        <w:t xml:space="preserve">siempre que cumpla los requisitos y entregue la documentación completa, </w:t>
      </w:r>
      <w:r w:rsidRPr="008475BA">
        <w:rPr>
          <w:rFonts w:cs="Arial"/>
          <w:color w:val="000000"/>
          <w:sz w:val="20"/>
          <w:szCs w:val="20"/>
          <w:shd w:val="clear" w:color="auto" w:fill="FFFFFF"/>
        </w:rPr>
        <w:t xml:space="preserve">exigidos en el TUPA de la entidad; señalando en su numeral 32.2 que en el procedimiento de aprobación automática, las entidades no emiten ningún pronunciamiento expreso confirmatorio de la aprobación automática, debiendo sólo realizar la fiscalización posterior. </w:t>
      </w:r>
    </w:p>
    <w:p w:rsidR="008475BA" w:rsidRPr="008475BA" w:rsidRDefault="008475BA" w:rsidP="00DE507C">
      <w:pPr>
        <w:pStyle w:val="Prrafodelista"/>
        <w:spacing w:after="0" w:line="280" w:lineRule="exact"/>
        <w:rPr>
          <w:rFonts w:cs="Arial"/>
          <w:color w:val="000000"/>
          <w:sz w:val="20"/>
          <w:szCs w:val="20"/>
          <w:shd w:val="clear" w:color="auto" w:fill="FFFFFF"/>
        </w:rPr>
      </w:pPr>
    </w:p>
    <w:p w:rsidR="003A2079" w:rsidRPr="003A2079" w:rsidRDefault="008475BA" w:rsidP="00DE507C">
      <w:pPr>
        <w:pStyle w:val="Prrafodelista"/>
        <w:numPr>
          <w:ilvl w:val="1"/>
          <w:numId w:val="1"/>
        </w:numPr>
        <w:tabs>
          <w:tab w:val="left" w:pos="426"/>
        </w:tabs>
        <w:spacing w:after="0" w:line="280" w:lineRule="exact"/>
        <w:ind w:left="426" w:hanging="426"/>
        <w:jc w:val="both"/>
        <w:rPr>
          <w:sz w:val="20"/>
          <w:szCs w:val="20"/>
        </w:rPr>
      </w:pPr>
      <w:r>
        <w:rPr>
          <w:rFonts w:cs="Arial"/>
          <w:color w:val="000000"/>
          <w:sz w:val="20"/>
          <w:szCs w:val="20"/>
          <w:shd w:val="clear" w:color="auto" w:fill="FFFFFF"/>
        </w:rPr>
        <w:t>E</w:t>
      </w:r>
      <w:r w:rsidR="005C5C0C" w:rsidRPr="008475BA">
        <w:rPr>
          <w:rFonts w:cs="Arial"/>
          <w:color w:val="000000"/>
          <w:sz w:val="20"/>
          <w:szCs w:val="20"/>
          <w:shd w:val="clear" w:color="auto" w:fill="FFFFFF"/>
        </w:rPr>
        <w:t>l numeral 32.3 del</w:t>
      </w:r>
      <w:r w:rsidR="001804EB">
        <w:rPr>
          <w:rFonts w:cs="Arial"/>
          <w:color w:val="000000"/>
          <w:sz w:val="20"/>
          <w:szCs w:val="20"/>
          <w:shd w:val="clear" w:color="auto" w:fill="FFFFFF"/>
        </w:rPr>
        <w:t xml:space="preserve"> acotado artículo </w:t>
      </w:r>
      <w:r w:rsidR="005C5C0C" w:rsidRPr="008475BA">
        <w:rPr>
          <w:rFonts w:cs="Arial"/>
          <w:color w:val="000000"/>
          <w:sz w:val="20"/>
          <w:szCs w:val="20"/>
          <w:shd w:val="clear" w:color="auto" w:fill="FFFFFF"/>
        </w:rPr>
        <w:t xml:space="preserve">establece que </w:t>
      </w:r>
      <w:r w:rsidR="00563470" w:rsidRPr="008475BA">
        <w:rPr>
          <w:rFonts w:cs="Arial"/>
          <w:color w:val="000000"/>
          <w:sz w:val="20"/>
          <w:szCs w:val="20"/>
        </w:rPr>
        <w:t>como constancia de la aprobación automática de la sol</w:t>
      </w:r>
      <w:r w:rsidR="005E0A78">
        <w:rPr>
          <w:rFonts w:cs="Arial"/>
          <w:color w:val="000000"/>
          <w:sz w:val="20"/>
          <w:szCs w:val="20"/>
        </w:rPr>
        <w:t>icitud del administrado, basta</w:t>
      </w:r>
      <w:r w:rsidR="00563470" w:rsidRPr="008475BA">
        <w:rPr>
          <w:rFonts w:cs="Arial"/>
          <w:color w:val="000000"/>
          <w:sz w:val="20"/>
          <w:szCs w:val="20"/>
        </w:rPr>
        <w:t xml:space="preserve"> la copia del escrito o del formato presentado conteniendo el sello oficial de recepción, sin observaciones e indicando el número de registro de la solicitud, fecha, hora y firma del agente receptor. Asimismo, el numeral 3</w:t>
      </w:r>
      <w:r w:rsidR="00563470" w:rsidRPr="008475BA">
        <w:rPr>
          <w:rFonts w:eastAsia="Times New Roman" w:cs="Arial"/>
          <w:color w:val="000000"/>
          <w:sz w:val="20"/>
          <w:szCs w:val="20"/>
          <w:lang w:eastAsia="es-PE"/>
        </w:rPr>
        <w:t xml:space="preserve">2.4 </w:t>
      </w:r>
      <w:r w:rsidR="00563470" w:rsidRPr="008475BA">
        <w:rPr>
          <w:rFonts w:cs="Arial"/>
          <w:color w:val="000000"/>
          <w:sz w:val="20"/>
          <w:szCs w:val="20"/>
        </w:rPr>
        <w:t>señala que s</w:t>
      </w:r>
      <w:r w:rsidR="00563470" w:rsidRPr="008475BA">
        <w:rPr>
          <w:rFonts w:eastAsia="Times New Roman" w:cs="Arial"/>
          <w:color w:val="000000"/>
          <w:sz w:val="20"/>
          <w:szCs w:val="20"/>
          <w:lang w:eastAsia="es-PE"/>
        </w:rPr>
        <w:t xml:space="preserve">on procedimientos de aprobación automática, sujetos a la presunción de veracidad, aquellos que habiliten el ejercicio de derechos preexistentes del administrado, </w:t>
      </w:r>
      <w:r w:rsidR="005E0A78">
        <w:rPr>
          <w:rFonts w:eastAsia="Times New Roman" w:cs="Arial"/>
          <w:color w:val="000000"/>
          <w:sz w:val="20"/>
          <w:szCs w:val="20"/>
          <w:lang w:eastAsia="es-PE"/>
        </w:rPr>
        <w:t xml:space="preserve">así como </w:t>
      </w:r>
      <w:r w:rsidR="00563470" w:rsidRPr="008475BA">
        <w:rPr>
          <w:rFonts w:eastAsia="Times New Roman" w:cs="Arial"/>
          <w:color w:val="000000"/>
          <w:sz w:val="20"/>
          <w:szCs w:val="20"/>
          <w:lang w:eastAsia="es-PE"/>
        </w:rPr>
        <w:t>la obtención de licencias</w:t>
      </w:r>
      <w:r w:rsidR="005E0A78">
        <w:rPr>
          <w:rFonts w:eastAsia="Times New Roman" w:cs="Arial"/>
          <w:color w:val="000000"/>
          <w:sz w:val="20"/>
          <w:szCs w:val="20"/>
          <w:lang w:eastAsia="es-PE"/>
        </w:rPr>
        <w:t xml:space="preserve"> y</w:t>
      </w:r>
      <w:r w:rsidR="00563470" w:rsidRPr="005E0A78">
        <w:rPr>
          <w:rFonts w:eastAsia="Times New Roman" w:cs="Arial"/>
          <w:color w:val="000000"/>
          <w:sz w:val="20"/>
          <w:szCs w:val="20"/>
          <w:lang w:eastAsia="es-PE"/>
        </w:rPr>
        <w:t xml:space="preserve"> autorizaciones</w:t>
      </w:r>
      <w:r w:rsidR="00563470" w:rsidRPr="008475BA">
        <w:rPr>
          <w:rFonts w:eastAsia="Times New Roman" w:cs="Arial"/>
          <w:color w:val="000000"/>
          <w:sz w:val="20"/>
          <w:szCs w:val="20"/>
          <w:lang w:eastAsia="es-PE"/>
        </w:rPr>
        <w:t xml:space="preserve">, </w:t>
      </w:r>
      <w:r w:rsidR="005E0A78">
        <w:rPr>
          <w:rFonts w:eastAsia="Times New Roman" w:cs="Arial"/>
          <w:color w:val="000000"/>
          <w:sz w:val="20"/>
          <w:szCs w:val="20"/>
          <w:lang w:eastAsia="es-PE"/>
        </w:rPr>
        <w:t>entre otros</w:t>
      </w:r>
      <w:r w:rsidR="00563470" w:rsidRPr="008475BA">
        <w:rPr>
          <w:rFonts w:eastAsia="Times New Roman" w:cs="Arial"/>
          <w:color w:val="000000"/>
          <w:sz w:val="20"/>
          <w:szCs w:val="20"/>
          <w:lang w:eastAsia="es-PE"/>
        </w:rPr>
        <w:t>, siempre que no afecten derechos de terceros y sin perjuicio de la fiscalización posterior que realice la administración.</w:t>
      </w:r>
    </w:p>
    <w:p w:rsidR="003A2079" w:rsidRPr="005E0A78" w:rsidRDefault="003A2079" w:rsidP="005E0A78">
      <w:pPr>
        <w:spacing w:after="0" w:line="280" w:lineRule="exact"/>
        <w:rPr>
          <w:sz w:val="20"/>
          <w:szCs w:val="20"/>
        </w:rPr>
      </w:pPr>
    </w:p>
    <w:p w:rsidR="003A2079" w:rsidRPr="003A2079" w:rsidRDefault="005E0A78" w:rsidP="00DE507C">
      <w:pPr>
        <w:pStyle w:val="Prrafodelista"/>
        <w:numPr>
          <w:ilvl w:val="1"/>
          <w:numId w:val="1"/>
        </w:numPr>
        <w:tabs>
          <w:tab w:val="left" w:pos="426"/>
        </w:tabs>
        <w:spacing w:after="0" w:line="280" w:lineRule="exact"/>
        <w:ind w:left="426" w:hanging="426"/>
        <w:jc w:val="both"/>
        <w:rPr>
          <w:sz w:val="20"/>
          <w:szCs w:val="20"/>
        </w:rPr>
      </w:pPr>
      <w:r>
        <w:rPr>
          <w:sz w:val="20"/>
          <w:szCs w:val="20"/>
        </w:rPr>
        <w:t xml:space="preserve">En el proyecto de decreto supremo se prevé que el procedimiento para </w:t>
      </w:r>
      <w:r w:rsidR="0029084C" w:rsidRPr="003A2079">
        <w:rPr>
          <w:sz w:val="20"/>
          <w:szCs w:val="20"/>
        </w:rPr>
        <w:t>l</w:t>
      </w:r>
      <w:r w:rsidR="0029084C" w:rsidRPr="003A2079">
        <w:rPr>
          <w:rFonts w:cs="Arial"/>
          <w:sz w:val="20"/>
          <w:szCs w:val="20"/>
        </w:rPr>
        <w:t>a autorización de inicio de actividades de exploración puede</w:t>
      </w:r>
      <w:r>
        <w:rPr>
          <w:rFonts w:cs="Arial"/>
          <w:sz w:val="20"/>
          <w:szCs w:val="20"/>
        </w:rPr>
        <w:t xml:space="preserve"> ser</w:t>
      </w:r>
      <w:r w:rsidR="0029084C" w:rsidRPr="003A2079">
        <w:rPr>
          <w:rFonts w:cs="Arial"/>
          <w:sz w:val="20"/>
          <w:szCs w:val="20"/>
        </w:rPr>
        <w:t xml:space="preserve"> de aprobación au</w:t>
      </w:r>
      <w:r w:rsidR="00957AD4">
        <w:rPr>
          <w:rFonts w:cs="Arial"/>
          <w:sz w:val="20"/>
          <w:szCs w:val="20"/>
        </w:rPr>
        <w:t>tomática o de evaluación previa, dependiendo si el ámbito geográfico del proyecto de exploración se encuentra o no dentro de los alcances de la Ley N° 29785 y su reglamento aprobado por Decreto Supremo N° 001-2012-MC.</w:t>
      </w:r>
    </w:p>
    <w:p w:rsidR="00C529AC" w:rsidRPr="00C529AC" w:rsidRDefault="00C529AC" w:rsidP="00C529AC">
      <w:pPr>
        <w:spacing w:after="0" w:line="280" w:lineRule="exact"/>
        <w:rPr>
          <w:rFonts w:cs="Arial"/>
          <w:sz w:val="20"/>
          <w:szCs w:val="20"/>
        </w:rPr>
      </w:pPr>
    </w:p>
    <w:p w:rsidR="003A2079" w:rsidRPr="003A2079" w:rsidRDefault="00957AD4" w:rsidP="00DE507C">
      <w:pPr>
        <w:pStyle w:val="Prrafodelista"/>
        <w:numPr>
          <w:ilvl w:val="1"/>
          <w:numId w:val="1"/>
        </w:numPr>
        <w:tabs>
          <w:tab w:val="left" w:pos="426"/>
        </w:tabs>
        <w:spacing w:after="0" w:line="280" w:lineRule="exact"/>
        <w:ind w:left="426" w:hanging="426"/>
        <w:jc w:val="both"/>
        <w:rPr>
          <w:sz w:val="20"/>
          <w:szCs w:val="20"/>
        </w:rPr>
      </w:pPr>
      <w:r>
        <w:rPr>
          <w:rFonts w:cs="Arial"/>
          <w:sz w:val="20"/>
          <w:szCs w:val="20"/>
        </w:rPr>
        <w:t>Para el caso del procedimiento de aprobación automática, siempre y cuando</w:t>
      </w:r>
      <w:r w:rsidRPr="00957AD4">
        <w:rPr>
          <w:rFonts w:cs="Arial"/>
          <w:sz w:val="20"/>
          <w:szCs w:val="20"/>
        </w:rPr>
        <w:t xml:space="preserve"> </w:t>
      </w:r>
      <w:r>
        <w:rPr>
          <w:rFonts w:cs="Arial"/>
          <w:sz w:val="20"/>
          <w:szCs w:val="20"/>
        </w:rPr>
        <w:t>el ámbito geográfico del proyecto de e</w:t>
      </w:r>
      <w:r>
        <w:rPr>
          <w:rFonts w:cs="Arial"/>
          <w:sz w:val="20"/>
          <w:szCs w:val="20"/>
        </w:rPr>
        <w:t xml:space="preserve">xploración no </w:t>
      </w:r>
      <w:r>
        <w:rPr>
          <w:rFonts w:cs="Arial"/>
          <w:sz w:val="20"/>
          <w:szCs w:val="20"/>
        </w:rPr>
        <w:t xml:space="preserve">se encuentre </w:t>
      </w:r>
      <w:r>
        <w:rPr>
          <w:rFonts w:cs="Arial"/>
          <w:sz w:val="20"/>
          <w:szCs w:val="20"/>
        </w:rPr>
        <w:t>dentro de los alcances de la Ley N° 29785 y su reglamento aprobado por Decreto Supremo N° 001-2012-MC</w:t>
      </w:r>
      <w:r>
        <w:rPr>
          <w:rFonts w:cs="Arial"/>
          <w:sz w:val="20"/>
          <w:szCs w:val="20"/>
        </w:rPr>
        <w:t>, se prevé la presentación de una declaración jurada suscrita por el titular minero respecto de la acreditación de terrenos superficiales en lugar de presentar la documentación señalada en el Decreto Supremo N° 001-2015-EM, emitiéndose la</w:t>
      </w:r>
      <w:r w:rsidR="00E71A5A" w:rsidRPr="003A2079">
        <w:rPr>
          <w:rFonts w:cs="Arial"/>
          <w:sz w:val="20"/>
          <w:szCs w:val="20"/>
        </w:rPr>
        <w:t xml:space="preserve"> constancia de aprobación automática </w:t>
      </w:r>
      <w:r>
        <w:rPr>
          <w:rFonts w:cs="Arial"/>
          <w:sz w:val="20"/>
          <w:szCs w:val="20"/>
        </w:rPr>
        <w:t xml:space="preserve">a la que hace referencia el numeral 32.2 del </w:t>
      </w:r>
      <w:r w:rsidRPr="006950CD">
        <w:rPr>
          <w:rFonts w:cs="Arial"/>
          <w:sz w:val="20"/>
          <w:szCs w:val="20"/>
        </w:rPr>
        <w:t>Texto</w:t>
      </w:r>
      <w:r w:rsidRPr="006950CD">
        <w:rPr>
          <w:rFonts w:cs="Arial"/>
          <w:spacing w:val="27"/>
          <w:sz w:val="20"/>
          <w:szCs w:val="20"/>
        </w:rPr>
        <w:t xml:space="preserve"> </w:t>
      </w:r>
      <w:r w:rsidRPr="006950CD">
        <w:rPr>
          <w:rFonts w:cs="Arial"/>
          <w:sz w:val="20"/>
          <w:szCs w:val="20"/>
        </w:rPr>
        <w:t>Único</w:t>
      </w:r>
      <w:r w:rsidRPr="006950CD">
        <w:rPr>
          <w:rFonts w:cs="Arial"/>
          <w:spacing w:val="46"/>
          <w:sz w:val="20"/>
          <w:szCs w:val="20"/>
        </w:rPr>
        <w:t xml:space="preserve"> </w:t>
      </w:r>
      <w:r w:rsidRPr="006950CD">
        <w:rPr>
          <w:rFonts w:cs="Arial"/>
          <w:sz w:val="20"/>
          <w:szCs w:val="20"/>
        </w:rPr>
        <w:t>Ordenado</w:t>
      </w:r>
      <w:r w:rsidRPr="006950CD">
        <w:rPr>
          <w:rFonts w:cs="Arial"/>
          <w:spacing w:val="36"/>
          <w:sz w:val="20"/>
          <w:szCs w:val="20"/>
        </w:rPr>
        <w:t xml:space="preserve"> </w:t>
      </w:r>
      <w:r w:rsidRPr="006950CD">
        <w:rPr>
          <w:rFonts w:cs="Arial"/>
          <w:sz w:val="20"/>
          <w:szCs w:val="20"/>
        </w:rPr>
        <w:t>de</w:t>
      </w:r>
      <w:r w:rsidRPr="006950CD">
        <w:rPr>
          <w:rFonts w:cs="Arial"/>
          <w:spacing w:val="35"/>
          <w:sz w:val="20"/>
          <w:szCs w:val="20"/>
        </w:rPr>
        <w:t xml:space="preserve"> </w:t>
      </w:r>
      <w:r w:rsidRPr="006950CD">
        <w:rPr>
          <w:rFonts w:cs="Arial"/>
          <w:sz w:val="20"/>
          <w:szCs w:val="20"/>
        </w:rPr>
        <w:t>la</w:t>
      </w:r>
      <w:r w:rsidRPr="006950CD">
        <w:rPr>
          <w:rFonts w:cs="Arial"/>
          <w:spacing w:val="39"/>
          <w:sz w:val="20"/>
          <w:szCs w:val="20"/>
        </w:rPr>
        <w:t xml:space="preserve"> </w:t>
      </w:r>
      <w:r w:rsidRPr="006950CD">
        <w:rPr>
          <w:rFonts w:cs="Arial"/>
          <w:sz w:val="20"/>
          <w:szCs w:val="20"/>
        </w:rPr>
        <w:t>Ley N° 27444-Ley del</w:t>
      </w:r>
      <w:r w:rsidRPr="006950CD">
        <w:rPr>
          <w:rFonts w:cs="Arial"/>
          <w:spacing w:val="31"/>
          <w:sz w:val="20"/>
          <w:szCs w:val="20"/>
        </w:rPr>
        <w:t xml:space="preserve"> </w:t>
      </w:r>
      <w:r w:rsidRPr="006950CD">
        <w:rPr>
          <w:rFonts w:cs="Arial"/>
          <w:sz w:val="20"/>
          <w:szCs w:val="20"/>
        </w:rPr>
        <w:t>Procedimiento</w:t>
      </w:r>
      <w:r w:rsidRPr="006950CD">
        <w:rPr>
          <w:rFonts w:cs="Arial"/>
          <w:spacing w:val="18"/>
          <w:sz w:val="20"/>
          <w:szCs w:val="20"/>
        </w:rPr>
        <w:t xml:space="preserve"> </w:t>
      </w:r>
      <w:r w:rsidRPr="006950CD">
        <w:rPr>
          <w:rFonts w:cs="Arial"/>
          <w:sz w:val="20"/>
          <w:szCs w:val="20"/>
        </w:rPr>
        <w:t>Administrativo</w:t>
      </w:r>
      <w:r w:rsidRPr="006950CD">
        <w:rPr>
          <w:rFonts w:cs="Arial"/>
          <w:spacing w:val="42"/>
          <w:sz w:val="20"/>
          <w:szCs w:val="20"/>
        </w:rPr>
        <w:t xml:space="preserve"> </w:t>
      </w:r>
      <w:r w:rsidRPr="006950CD">
        <w:rPr>
          <w:rFonts w:cs="Arial"/>
          <w:sz w:val="20"/>
          <w:szCs w:val="20"/>
        </w:rPr>
        <w:t>General</w:t>
      </w:r>
      <w:r>
        <w:rPr>
          <w:rFonts w:cs="Arial"/>
          <w:sz w:val="20"/>
          <w:szCs w:val="20"/>
        </w:rPr>
        <w:t>, aprobado por Decreto Supremo N° 006-2017-JUS</w:t>
      </w:r>
      <w:r w:rsidRPr="006950CD">
        <w:rPr>
          <w:rFonts w:cs="Arial"/>
          <w:sz w:val="20"/>
          <w:szCs w:val="20"/>
        </w:rPr>
        <w:t>,</w:t>
      </w:r>
      <w:r>
        <w:rPr>
          <w:rFonts w:cs="Arial"/>
          <w:sz w:val="20"/>
          <w:szCs w:val="20"/>
        </w:rPr>
        <w:t xml:space="preserve"> </w:t>
      </w:r>
      <w:r w:rsidR="00E71A5A" w:rsidRPr="003A2079">
        <w:rPr>
          <w:rFonts w:cs="Arial"/>
          <w:sz w:val="20"/>
          <w:szCs w:val="20"/>
        </w:rPr>
        <w:t>en el plazo máximo de 5 días.</w:t>
      </w:r>
    </w:p>
    <w:p w:rsidR="003A2079" w:rsidRPr="00C529AC" w:rsidRDefault="003A2079" w:rsidP="00C529AC">
      <w:pPr>
        <w:spacing w:after="0" w:line="280" w:lineRule="exact"/>
        <w:rPr>
          <w:sz w:val="20"/>
          <w:szCs w:val="20"/>
        </w:rPr>
      </w:pPr>
    </w:p>
    <w:p w:rsidR="002B14C4" w:rsidRPr="006950CD" w:rsidRDefault="004F0D6B" w:rsidP="00DE507C">
      <w:pPr>
        <w:pStyle w:val="Prrafodelista"/>
        <w:numPr>
          <w:ilvl w:val="1"/>
          <w:numId w:val="1"/>
        </w:numPr>
        <w:tabs>
          <w:tab w:val="left" w:pos="426"/>
        </w:tabs>
        <w:spacing w:after="0" w:line="280" w:lineRule="exact"/>
        <w:ind w:left="426" w:hanging="426"/>
        <w:jc w:val="both"/>
        <w:rPr>
          <w:sz w:val="20"/>
          <w:szCs w:val="20"/>
        </w:rPr>
      </w:pPr>
      <w:r w:rsidRPr="006950CD">
        <w:rPr>
          <w:sz w:val="20"/>
          <w:szCs w:val="20"/>
        </w:rPr>
        <w:t xml:space="preserve">Asimismo, tal como lo establece el proyecto de </w:t>
      </w:r>
      <w:r w:rsidR="003E2528" w:rsidRPr="006950CD">
        <w:rPr>
          <w:sz w:val="20"/>
          <w:szCs w:val="20"/>
        </w:rPr>
        <w:t>norma</w:t>
      </w:r>
      <w:r w:rsidRPr="006950CD">
        <w:rPr>
          <w:sz w:val="20"/>
          <w:szCs w:val="20"/>
        </w:rPr>
        <w:t>, el presente procedimiento de</w:t>
      </w:r>
      <w:r w:rsidRPr="006950CD">
        <w:rPr>
          <w:rFonts w:cs="Arial"/>
          <w:sz w:val="20"/>
          <w:szCs w:val="20"/>
        </w:rPr>
        <w:t xml:space="preserve"> autorización de inicio de las actividades de exploración está sujeta a un procedimiento de evaluación previa, en caso se compruebe que el </w:t>
      </w:r>
      <w:r w:rsidR="00C07899" w:rsidRPr="006950CD">
        <w:rPr>
          <w:rFonts w:cs="Arial"/>
          <w:sz w:val="20"/>
          <w:szCs w:val="20"/>
        </w:rPr>
        <w:t xml:space="preserve">ámbito geográfico </w:t>
      </w:r>
      <w:r w:rsidRPr="006950CD">
        <w:rPr>
          <w:rFonts w:cs="Arial"/>
          <w:sz w:val="20"/>
          <w:szCs w:val="20"/>
        </w:rPr>
        <w:t xml:space="preserve">de exploración a ejecutarse se encuentra dentro de los alcances de la Ley N° 29785 y su reglamento aprobado con Decreto Supremo N° 001-2012-MC, es decir en caso se deba realizar un proceso de consulta previa </w:t>
      </w:r>
      <w:r w:rsidR="00957AD4">
        <w:rPr>
          <w:rFonts w:cs="Arial"/>
          <w:sz w:val="20"/>
          <w:szCs w:val="20"/>
        </w:rPr>
        <w:t>a los pueblos indígenas que podrí</w:t>
      </w:r>
      <w:r w:rsidRPr="006950CD">
        <w:rPr>
          <w:rFonts w:cs="Arial"/>
          <w:sz w:val="20"/>
          <w:szCs w:val="20"/>
        </w:rPr>
        <w:t>an verse afectados directamente por el proyecto de exploración a desarrollarse.</w:t>
      </w:r>
    </w:p>
    <w:p w:rsidR="003D2A4F" w:rsidRPr="006950CD" w:rsidRDefault="003D2A4F" w:rsidP="003D2A4F">
      <w:pPr>
        <w:pStyle w:val="Prrafodelista"/>
        <w:rPr>
          <w:sz w:val="20"/>
          <w:szCs w:val="20"/>
        </w:rPr>
      </w:pPr>
    </w:p>
    <w:p w:rsidR="00B05BB7" w:rsidRPr="006950CD" w:rsidRDefault="003D2A4F" w:rsidP="003D2A4F">
      <w:pPr>
        <w:pStyle w:val="Prrafodelista"/>
        <w:tabs>
          <w:tab w:val="left" w:pos="426"/>
        </w:tabs>
        <w:spacing w:after="0" w:line="280" w:lineRule="exact"/>
        <w:ind w:left="426"/>
        <w:jc w:val="both"/>
        <w:rPr>
          <w:sz w:val="20"/>
          <w:szCs w:val="20"/>
        </w:rPr>
      </w:pPr>
      <w:r w:rsidRPr="006950CD">
        <w:rPr>
          <w:sz w:val="20"/>
          <w:szCs w:val="20"/>
        </w:rPr>
        <w:t xml:space="preserve">Al respecto, tal como lo dispone el artículo 37 del </w:t>
      </w:r>
      <w:r w:rsidRPr="006950CD">
        <w:rPr>
          <w:rFonts w:cs="Arial"/>
          <w:sz w:val="20"/>
          <w:szCs w:val="20"/>
        </w:rPr>
        <w:t>Texto</w:t>
      </w:r>
      <w:r w:rsidRPr="006950CD">
        <w:rPr>
          <w:rFonts w:cs="Arial"/>
          <w:spacing w:val="27"/>
          <w:sz w:val="20"/>
          <w:szCs w:val="20"/>
        </w:rPr>
        <w:t xml:space="preserve"> </w:t>
      </w:r>
      <w:r w:rsidRPr="006950CD">
        <w:rPr>
          <w:rFonts w:cs="Arial"/>
          <w:sz w:val="20"/>
          <w:szCs w:val="20"/>
        </w:rPr>
        <w:t>Único</w:t>
      </w:r>
      <w:r w:rsidRPr="006950CD">
        <w:rPr>
          <w:rFonts w:cs="Arial"/>
          <w:spacing w:val="46"/>
          <w:sz w:val="20"/>
          <w:szCs w:val="20"/>
        </w:rPr>
        <w:t xml:space="preserve"> </w:t>
      </w:r>
      <w:r w:rsidRPr="006950CD">
        <w:rPr>
          <w:rFonts w:cs="Arial"/>
          <w:sz w:val="20"/>
          <w:szCs w:val="20"/>
        </w:rPr>
        <w:t>Ordenado</w:t>
      </w:r>
      <w:r w:rsidRPr="006950CD">
        <w:rPr>
          <w:rFonts w:cs="Arial"/>
          <w:spacing w:val="36"/>
          <w:sz w:val="20"/>
          <w:szCs w:val="20"/>
        </w:rPr>
        <w:t xml:space="preserve"> </w:t>
      </w:r>
      <w:r w:rsidRPr="006950CD">
        <w:rPr>
          <w:rFonts w:cs="Arial"/>
          <w:sz w:val="20"/>
          <w:szCs w:val="20"/>
        </w:rPr>
        <w:t>de</w:t>
      </w:r>
      <w:r w:rsidRPr="006950CD">
        <w:rPr>
          <w:rFonts w:cs="Arial"/>
          <w:spacing w:val="35"/>
          <w:sz w:val="20"/>
          <w:szCs w:val="20"/>
        </w:rPr>
        <w:t xml:space="preserve"> </w:t>
      </w:r>
      <w:r w:rsidRPr="006950CD">
        <w:rPr>
          <w:rFonts w:cs="Arial"/>
          <w:sz w:val="20"/>
          <w:szCs w:val="20"/>
        </w:rPr>
        <w:t>la</w:t>
      </w:r>
      <w:r w:rsidRPr="006950CD">
        <w:rPr>
          <w:rFonts w:cs="Arial"/>
          <w:spacing w:val="39"/>
          <w:sz w:val="20"/>
          <w:szCs w:val="20"/>
        </w:rPr>
        <w:t xml:space="preserve"> </w:t>
      </w:r>
      <w:r w:rsidRPr="006950CD">
        <w:rPr>
          <w:rFonts w:cs="Arial"/>
          <w:sz w:val="20"/>
          <w:szCs w:val="20"/>
        </w:rPr>
        <w:t>Ley N° 27444-Ley del</w:t>
      </w:r>
      <w:r w:rsidRPr="006950CD">
        <w:rPr>
          <w:rFonts w:cs="Arial"/>
          <w:spacing w:val="31"/>
          <w:sz w:val="20"/>
          <w:szCs w:val="20"/>
        </w:rPr>
        <w:t xml:space="preserve"> </w:t>
      </w:r>
      <w:r w:rsidRPr="006950CD">
        <w:rPr>
          <w:rFonts w:cs="Arial"/>
          <w:sz w:val="20"/>
          <w:szCs w:val="20"/>
        </w:rPr>
        <w:t>Procedimiento</w:t>
      </w:r>
      <w:r w:rsidRPr="006950CD">
        <w:rPr>
          <w:rFonts w:cs="Arial"/>
          <w:spacing w:val="18"/>
          <w:sz w:val="20"/>
          <w:szCs w:val="20"/>
        </w:rPr>
        <w:t xml:space="preserve"> </w:t>
      </w:r>
      <w:r w:rsidRPr="006950CD">
        <w:rPr>
          <w:rFonts w:cs="Arial"/>
          <w:sz w:val="20"/>
          <w:szCs w:val="20"/>
        </w:rPr>
        <w:t>Administrativo</w:t>
      </w:r>
      <w:r w:rsidRPr="006950CD">
        <w:rPr>
          <w:rFonts w:cs="Arial"/>
          <w:spacing w:val="42"/>
          <w:sz w:val="20"/>
          <w:szCs w:val="20"/>
        </w:rPr>
        <w:t xml:space="preserve"> </w:t>
      </w:r>
      <w:r w:rsidRPr="006950CD">
        <w:rPr>
          <w:rFonts w:cs="Arial"/>
          <w:sz w:val="20"/>
          <w:szCs w:val="20"/>
        </w:rPr>
        <w:t xml:space="preserve">General, </w:t>
      </w:r>
      <w:r w:rsidR="00957AD4">
        <w:rPr>
          <w:rFonts w:cs="Arial"/>
          <w:sz w:val="20"/>
          <w:szCs w:val="20"/>
        </w:rPr>
        <w:t xml:space="preserve">aprobado por Decreto Supremo N° 006-2017-JUS, </w:t>
      </w:r>
      <w:r w:rsidRPr="006950CD">
        <w:rPr>
          <w:rFonts w:cs="Arial"/>
          <w:sz w:val="20"/>
          <w:szCs w:val="20"/>
        </w:rPr>
        <w:t>el</w:t>
      </w:r>
      <w:r w:rsidR="00B05BB7" w:rsidRPr="006950CD">
        <w:rPr>
          <w:rFonts w:cs="Arial"/>
          <w:sz w:val="20"/>
          <w:szCs w:val="20"/>
        </w:rPr>
        <w:t xml:space="preserve"> </w:t>
      </w:r>
      <w:r w:rsidR="00B05BB7" w:rsidRPr="006950CD">
        <w:rPr>
          <w:rFonts w:cs="Arial"/>
          <w:sz w:val="20"/>
          <w:szCs w:val="20"/>
          <w:shd w:val="clear" w:color="auto" w:fill="FFFFFF"/>
        </w:rPr>
        <w:t>silencio negativo es aplicable en aquellos casos en los que la petición del administrado puede afectar significativamente el interés público e incida en la salud, el medio am</w:t>
      </w:r>
      <w:r w:rsidR="00957AD4">
        <w:rPr>
          <w:rFonts w:cs="Arial"/>
          <w:sz w:val="20"/>
          <w:szCs w:val="20"/>
          <w:shd w:val="clear" w:color="auto" w:fill="FFFFFF"/>
        </w:rPr>
        <w:t>biente y los recursos naturales, e</w:t>
      </w:r>
      <w:r w:rsidR="006950CD">
        <w:rPr>
          <w:sz w:val="20"/>
          <w:szCs w:val="20"/>
        </w:rPr>
        <w:t xml:space="preserve">n tal sentido, el proyecto de norma establece </w:t>
      </w:r>
      <w:r w:rsidR="00B05BB7" w:rsidRPr="006950CD">
        <w:rPr>
          <w:sz w:val="20"/>
          <w:szCs w:val="20"/>
        </w:rPr>
        <w:t xml:space="preserve">que </w:t>
      </w:r>
      <w:r w:rsidR="006950CD">
        <w:rPr>
          <w:sz w:val="20"/>
          <w:szCs w:val="20"/>
        </w:rPr>
        <w:t xml:space="preserve">el </w:t>
      </w:r>
      <w:r w:rsidR="006950CD" w:rsidRPr="006950CD">
        <w:rPr>
          <w:sz w:val="20"/>
          <w:szCs w:val="20"/>
        </w:rPr>
        <w:t>procedimiento de</w:t>
      </w:r>
      <w:r w:rsidR="006950CD" w:rsidRPr="006950CD">
        <w:rPr>
          <w:rFonts w:cs="Arial"/>
          <w:sz w:val="20"/>
          <w:szCs w:val="20"/>
        </w:rPr>
        <w:t xml:space="preserve"> autorización de inicio de las actividades de exploración</w:t>
      </w:r>
      <w:r w:rsidR="00957AD4">
        <w:rPr>
          <w:rFonts w:cs="Arial"/>
          <w:sz w:val="20"/>
          <w:szCs w:val="20"/>
        </w:rPr>
        <w:t xml:space="preserve"> con</w:t>
      </w:r>
      <w:r w:rsidR="00B05BB7" w:rsidRPr="006950CD">
        <w:rPr>
          <w:sz w:val="20"/>
          <w:szCs w:val="20"/>
        </w:rPr>
        <w:t xml:space="preserve"> </w:t>
      </w:r>
      <w:r w:rsidR="00B05BB7" w:rsidRPr="006950CD">
        <w:rPr>
          <w:rFonts w:cs="Arial"/>
          <w:sz w:val="20"/>
          <w:szCs w:val="20"/>
        </w:rPr>
        <w:t xml:space="preserve">evaluación previa </w:t>
      </w:r>
      <w:r w:rsidR="00957AD4" w:rsidRPr="006950CD">
        <w:rPr>
          <w:rFonts w:cs="Arial"/>
          <w:sz w:val="20"/>
          <w:szCs w:val="20"/>
        </w:rPr>
        <w:t xml:space="preserve">estará sujeto a </w:t>
      </w:r>
      <w:r w:rsidR="00957AD4" w:rsidRPr="006950CD">
        <w:rPr>
          <w:sz w:val="20"/>
          <w:szCs w:val="20"/>
        </w:rPr>
        <w:t xml:space="preserve"> </w:t>
      </w:r>
      <w:r w:rsidR="00957AD4" w:rsidRPr="006950CD">
        <w:rPr>
          <w:rFonts w:cs="Arial"/>
          <w:sz w:val="20"/>
          <w:szCs w:val="20"/>
          <w:shd w:val="clear" w:color="auto" w:fill="FFFFFF"/>
        </w:rPr>
        <w:t>silencio negativo</w:t>
      </w:r>
      <w:r w:rsidR="00957AD4" w:rsidRPr="006950CD">
        <w:rPr>
          <w:rFonts w:cs="Arial"/>
          <w:sz w:val="20"/>
          <w:szCs w:val="20"/>
        </w:rPr>
        <w:t xml:space="preserve"> </w:t>
      </w:r>
      <w:r w:rsidR="00957AD4">
        <w:rPr>
          <w:rFonts w:cs="Arial"/>
          <w:sz w:val="20"/>
          <w:szCs w:val="20"/>
        </w:rPr>
        <w:t xml:space="preserve">y tiene </w:t>
      </w:r>
      <w:r w:rsidR="00B05BB7" w:rsidRPr="006950CD">
        <w:rPr>
          <w:rFonts w:cs="Arial"/>
          <w:sz w:val="20"/>
          <w:szCs w:val="20"/>
        </w:rPr>
        <w:t>un plazo de 15 días</w:t>
      </w:r>
      <w:r w:rsidR="00B05BB7" w:rsidRPr="006950CD">
        <w:rPr>
          <w:rFonts w:cs="Arial"/>
          <w:sz w:val="20"/>
          <w:szCs w:val="20"/>
          <w:shd w:val="clear" w:color="auto" w:fill="FFFFFF"/>
        </w:rPr>
        <w:t>.</w:t>
      </w:r>
    </w:p>
    <w:p w:rsidR="002B14C4" w:rsidRPr="00B05BB7" w:rsidRDefault="002B14C4" w:rsidP="00DE507C">
      <w:pPr>
        <w:tabs>
          <w:tab w:val="left" w:pos="426"/>
        </w:tabs>
        <w:spacing w:after="0" w:line="280" w:lineRule="exact"/>
        <w:jc w:val="both"/>
        <w:rPr>
          <w:color w:val="FF0000"/>
          <w:sz w:val="20"/>
          <w:szCs w:val="20"/>
        </w:rPr>
      </w:pPr>
    </w:p>
    <w:p w:rsidR="004F0D6B" w:rsidRDefault="004F0D6B" w:rsidP="00DE507C">
      <w:pPr>
        <w:widowControl w:val="0"/>
        <w:autoSpaceDE w:val="0"/>
        <w:autoSpaceDN w:val="0"/>
        <w:adjustRightInd w:val="0"/>
        <w:spacing w:after="0" w:line="280" w:lineRule="exact"/>
        <w:ind w:right="-1"/>
        <w:jc w:val="both"/>
        <w:rPr>
          <w:rFonts w:cs="Arial"/>
          <w:b/>
          <w:sz w:val="20"/>
          <w:szCs w:val="20"/>
          <w:u w:val="single"/>
        </w:rPr>
      </w:pPr>
      <w:r w:rsidRPr="00B05BB7">
        <w:rPr>
          <w:rFonts w:cs="Arial"/>
          <w:b/>
          <w:sz w:val="20"/>
          <w:szCs w:val="20"/>
          <w:u w:val="single"/>
        </w:rPr>
        <w:lastRenderedPageBreak/>
        <w:t xml:space="preserve">Incorporación del artículo 76 </w:t>
      </w:r>
      <w:r w:rsidR="00047FAB" w:rsidRPr="00B05BB7">
        <w:rPr>
          <w:rFonts w:cs="Arial"/>
          <w:b/>
          <w:sz w:val="20"/>
          <w:szCs w:val="20"/>
          <w:u w:val="single"/>
        </w:rPr>
        <w:t>a</w:t>
      </w:r>
      <w:r w:rsidRPr="00B05BB7">
        <w:rPr>
          <w:rFonts w:cs="Arial"/>
          <w:b/>
          <w:sz w:val="20"/>
          <w:szCs w:val="20"/>
          <w:u w:val="single"/>
        </w:rPr>
        <w:t>l Reglamento de Procedimientos Mineros</w:t>
      </w:r>
      <w:r w:rsidR="00957AD4">
        <w:rPr>
          <w:rFonts w:cs="Arial"/>
          <w:b/>
          <w:sz w:val="20"/>
          <w:szCs w:val="20"/>
          <w:u w:val="single"/>
        </w:rPr>
        <w:t xml:space="preserve"> referido a la autorización de inicio de actividades de explotación</w:t>
      </w:r>
    </w:p>
    <w:p w:rsidR="00957AD4" w:rsidRPr="00B05BB7" w:rsidRDefault="00957AD4" w:rsidP="00DE507C">
      <w:pPr>
        <w:widowControl w:val="0"/>
        <w:autoSpaceDE w:val="0"/>
        <w:autoSpaceDN w:val="0"/>
        <w:adjustRightInd w:val="0"/>
        <w:spacing w:after="0" w:line="280" w:lineRule="exact"/>
        <w:ind w:right="-1"/>
        <w:jc w:val="both"/>
        <w:rPr>
          <w:rFonts w:cs="Arial"/>
          <w:b/>
          <w:sz w:val="20"/>
          <w:szCs w:val="20"/>
          <w:u w:val="single"/>
        </w:rPr>
      </w:pPr>
    </w:p>
    <w:p w:rsidR="00452143" w:rsidRPr="00D9289D" w:rsidRDefault="00957AD4" w:rsidP="00D9289D">
      <w:pPr>
        <w:pStyle w:val="Prrafodelista"/>
        <w:widowControl w:val="0"/>
        <w:numPr>
          <w:ilvl w:val="1"/>
          <w:numId w:val="1"/>
        </w:numPr>
        <w:autoSpaceDE w:val="0"/>
        <w:autoSpaceDN w:val="0"/>
        <w:adjustRightInd w:val="0"/>
        <w:spacing w:after="0" w:line="280" w:lineRule="exact"/>
        <w:ind w:left="426" w:hanging="426"/>
        <w:jc w:val="both"/>
        <w:rPr>
          <w:rFonts w:cs="Arial"/>
          <w:sz w:val="20"/>
          <w:szCs w:val="20"/>
        </w:rPr>
      </w:pPr>
      <w:r>
        <w:rPr>
          <w:rFonts w:cs="Arial"/>
          <w:sz w:val="20"/>
          <w:szCs w:val="20"/>
        </w:rPr>
        <w:t xml:space="preserve">En el </w:t>
      </w:r>
      <w:r w:rsidR="00603841" w:rsidRPr="006A53C9">
        <w:rPr>
          <w:rFonts w:cs="Arial"/>
          <w:sz w:val="20"/>
          <w:szCs w:val="20"/>
        </w:rPr>
        <w:t>proyecto de decreto</w:t>
      </w:r>
      <w:r>
        <w:rPr>
          <w:rFonts w:cs="Arial"/>
          <w:sz w:val="20"/>
          <w:szCs w:val="20"/>
        </w:rPr>
        <w:t xml:space="preserve"> supremo</w:t>
      </w:r>
      <w:r w:rsidR="00603841" w:rsidRPr="006A53C9">
        <w:rPr>
          <w:rFonts w:cs="Arial"/>
          <w:sz w:val="20"/>
          <w:szCs w:val="20"/>
        </w:rPr>
        <w:t xml:space="preserve"> se incorpora el artículo 76 al Reglamento</w:t>
      </w:r>
      <w:r>
        <w:rPr>
          <w:rFonts w:cs="Arial"/>
          <w:sz w:val="20"/>
          <w:szCs w:val="20"/>
        </w:rPr>
        <w:t xml:space="preserve"> de Procedimientos Mineros</w:t>
      </w:r>
      <w:r w:rsidR="00603841" w:rsidRPr="006A53C9">
        <w:rPr>
          <w:sz w:val="20"/>
          <w:szCs w:val="20"/>
        </w:rPr>
        <w:t xml:space="preserve">, </w:t>
      </w:r>
      <w:r w:rsidR="0087177D">
        <w:rPr>
          <w:sz w:val="20"/>
          <w:szCs w:val="20"/>
        </w:rPr>
        <w:t>con la finalidad de determinar con mayor claridad la distinción entre los procedimientos de autorización de inicio de actividades de exploración y autorización de inicio de actividades de explotación que se encontraban regulados en un solo artículo esto es el artículo 75 del texto original del Reglamento de Procedimientos Mineros</w:t>
      </w:r>
      <w:r w:rsidR="00C4451F" w:rsidRPr="00D9289D">
        <w:rPr>
          <w:sz w:val="20"/>
          <w:szCs w:val="20"/>
        </w:rPr>
        <w:t>; situación que favorece a los administrados</w:t>
      </w:r>
      <w:r w:rsidR="00A75299" w:rsidRPr="00D9289D">
        <w:rPr>
          <w:sz w:val="20"/>
          <w:szCs w:val="20"/>
        </w:rPr>
        <w:t>, por cuanto la normatividad se encuentra m</w:t>
      </w:r>
      <w:r w:rsidR="00C42BD1" w:rsidRPr="00D9289D">
        <w:rPr>
          <w:sz w:val="20"/>
          <w:szCs w:val="20"/>
        </w:rPr>
        <w:t>ejor de</w:t>
      </w:r>
      <w:r w:rsidR="00A75299" w:rsidRPr="00D9289D">
        <w:rPr>
          <w:sz w:val="20"/>
          <w:szCs w:val="20"/>
        </w:rPr>
        <w:t xml:space="preserve">tallada y evita cualquier tipo de confusión respecto a procedimientos que </w:t>
      </w:r>
      <w:r w:rsidR="0087177D" w:rsidRPr="00D9289D">
        <w:rPr>
          <w:sz w:val="20"/>
          <w:szCs w:val="20"/>
        </w:rPr>
        <w:t xml:space="preserve">en tanto </w:t>
      </w:r>
      <w:r w:rsidR="00A75299" w:rsidRPr="00D9289D">
        <w:rPr>
          <w:sz w:val="20"/>
          <w:szCs w:val="20"/>
        </w:rPr>
        <w:t>son disimiles</w:t>
      </w:r>
      <w:r w:rsidR="00171A9E" w:rsidRPr="00D9289D">
        <w:rPr>
          <w:sz w:val="20"/>
          <w:szCs w:val="20"/>
        </w:rPr>
        <w:t>,</w:t>
      </w:r>
      <w:r w:rsidR="00A75299" w:rsidRPr="00D9289D">
        <w:rPr>
          <w:sz w:val="20"/>
          <w:szCs w:val="20"/>
        </w:rPr>
        <w:t xml:space="preserve"> al sistematizarlos en un mismo artículo pueden inducir al error</w:t>
      </w:r>
      <w:r w:rsidR="00C4451F" w:rsidRPr="00D9289D">
        <w:rPr>
          <w:sz w:val="20"/>
          <w:szCs w:val="20"/>
        </w:rPr>
        <w:t>.</w:t>
      </w:r>
    </w:p>
    <w:p w:rsidR="00452143" w:rsidRPr="00452143" w:rsidRDefault="00452143" w:rsidP="001B75C8">
      <w:pPr>
        <w:pStyle w:val="Prrafodelista"/>
        <w:spacing w:after="0" w:line="280" w:lineRule="exact"/>
        <w:rPr>
          <w:sz w:val="20"/>
          <w:szCs w:val="20"/>
        </w:rPr>
      </w:pPr>
    </w:p>
    <w:p w:rsidR="00D9289D" w:rsidRPr="00D9289D" w:rsidRDefault="00C4451F" w:rsidP="001B75C8">
      <w:pPr>
        <w:pStyle w:val="Prrafodelista"/>
        <w:widowControl w:val="0"/>
        <w:numPr>
          <w:ilvl w:val="1"/>
          <w:numId w:val="1"/>
        </w:numPr>
        <w:autoSpaceDE w:val="0"/>
        <w:autoSpaceDN w:val="0"/>
        <w:adjustRightInd w:val="0"/>
        <w:spacing w:after="0" w:line="280" w:lineRule="exact"/>
        <w:ind w:left="426" w:hanging="426"/>
        <w:jc w:val="both"/>
        <w:rPr>
          <w:rFonts w:cs="Arial"/>
          <w:sz w:val="20"/>
          <w:szCs w:val="20"/>
        </w:rPr>
      </w:pPr>
      <w:r w:rsidRPr="00452143">
        <w:rPr>
          <w:sz w:val="20"/>
          <w:szCs w:val="20"/>
        </w:rPr>
        <w:t>Asimismo,</w:t>
      </w:r>
      <w:r w:rsidR="00D9289D">
        <w:rPr>
          <w:sz w:val="20"/>
          <w:szCs w:val="20"/>
        </w:rPr>
        <w:t xml:space="preserve"> en el artículo 76 se simplifica el procedimiento de autorización de inicio de actividades al fusionar la etapa A referida anteriormente a la aprobación del plan de minado y autorización de desarrollo y preparación, con la etapa B consistente en la autorización de inicio de explotación propiamente dicha, lo que implica la reducción de plazos de 45 días a 30 días hábiles, </w:t>
      </w:r>
      <w:r w:rsidRPr="00452143">
        <w:rPr>
          <w:sz w:val="20"/>
          <w:szCs w:val="20"/>
        </w:rPr>
        <w:t xml:space="preserve"> t</w:t>
      </w:r>
      <w:r w:rsidR="00D9289D">
        <w:rPr>
          <w:sz w:val="20"/>
          <w:szCs w:val="20"/>
        </w:rPr>
        <w:t>al como se aprecia del numeral 1</w:t>
      </w:r>
      <w:r w:rsidRPr="00452143">
        <w:rPr>
          <w:sz w:val="20"/>
          <w:szCs w:val="20"/>
        </w:rPr>
        <w:t xml:space="preserve"> del artículo 76</w:t>
      </w:r>
      <w:r w:rsidR="00D9289D">
        <w:rPr>
          <w:sz w:val="20"/>
          <w:szCs w:val="20"/>
        </w:rPr>
        <w:t xml:space="preserve"> propuesto. </w:t>
      </w:r>
    </w:p>
    <w:p w:rsidR="00D9289D" w:rsidRPr="00D9289D" w:rsidRDefault="00D9289D" w:rsidP="00D9289D">
      <w:pPr>
        <w:pStyle w:val="Prrafodelista"/>
        <w:rPr>
          <w:sz w:val="20"/>
          <w:szCs w:val="20"/>
        </w:rPr>
      </w:pPr>
    </w:p>
    <w:p w:rsidR="00452143" w:rsidRDefault="00D9289D" w:rsidP="001B75C8">
      <w:pPr>
        <w:pStyle w:val="Prrafodelista"/>
        <w:widowControl w:val="0"/>
        <w:numPr>
          <w:ilvl w:val="1"/>
          <w:numId w:val="1"/>
        </w:numPr>
        <w:autoSpaceDE w:val="0"/>
        <w:autoSpaceDN w:val="0"/>
        <w:adjustRightInd w:val="0"/>
        <w:spacing w:after="0" w:line="280" w:lineRule="exact"/>
        <w:ind w:left="426" w:hanging="426"/>
        <w:jc w:val="both"/>
        <w:rPr>
          <w:rFonts w:cs="Arial"/>
          <w:sz w:val="20"/>
          <w:szCs w:val="20"/>
        </w:rPr>
      </w:pPr>
      <w:r>
        <w:rPr>
          <w:sz w:val="20"/>
          <w:szCs w:val="20"/>
        </w:rPr>
        <w:t>De otro lado</w:t>
      </w:r>
      <w:r w:rsidR="0019742A" w:rsidRPr="00452143">
        <w:rPr>
          <w:sz w:val="20"/>
          <w:szCs w:val="20"/>
        </w:rPr>
        <w:t xml:space="preserve">, se </w:t>
      </w:r>
      <w:r>
        <w:rPr>
          <w:sz w:val="20"/>
          <w:szCs w:val="20"/>
        </w:rPr>
        <w:t>precisan</w:t>
      </w:r>
      <w:r w:rsidR="00C4451F" w:rsidRPr="00452143">
        <w:rPr>
          <w:sz w:val="20"/>
          <w:szCs w:val="20"/>
        </w:rPr>
        <w:t xml:space="preserve"> los </w:t>
      </w:r>
      <w:r>
        <w:rPr>
          <w:sz w:val="20"/>
          <w:szCs w:val="20"/>
        </w:rPr>
        <w:t xml:space="preserve">casos en los que procede la modificación de la autorización de inicio de explotación, determinándose que aquella opera </w:t>
      </w:r>
      <w:r w:rsidR="00C4451F" w:rsidRPr="00452143">
        <w:rPr>
          <w:sz w:val="20"/>
          <w:szCs w:val="20"/>
        </w:rPr>
        <w:t xml:space="preserve">para </w:t>
      </w:r>
      <w:r>
        <w:rPr>
          <w:sz w:val="20"/>
          <w:szCs w:val="20"/>
        </w:rPr>
        <w:t xml:space="preserve">(i) </w:t>
      </w:r>
      <w:r w:rsidR="00C4451F" w:rsidRPr="00452143">
        <w:rPr>
          <w:rFonts w:cs="Arial"/>
          <w:sz w:val="20"/>
          <w:szCs w:val="20"/>
        </w:rPr>
        <w:t xml:space="preserve">cambio del método de explotación superficial a subterráneo o viceversa; </w:t>
      </w:r>
      <w:r>
        <w:rPr>
          <w:rFonts w:cs="Arial"/>
          <w:sz w:val="20"/>
          <w:szCs w:val="20"/>
        </w:rPr>
        <w:t xml:space="preserve">(ii) </w:t>
      </w:r>
      <w:r w:rsidR="00C4451F" w:rsidRPr="00452143">
        <w:rPr>
          <w:rFonts w:cs="Arial"/>
          <w:sz w:val="20"/>
          <w:szCs w:val="20"/>
        </w:rPr>
        <w:t xml:space="preserve">ampliación del límite final de la explotación del tajo siempre y cuando se requiera la acreditación de uso de terreno superficial adicional a los autorizados; y </w:t>
      </w:r>
      <w:r>
        <w:rPr>
          <w:rFonts w:cs="Arial"/>
          <w:sz w:val="20"/>
          <w:szCs w:val="20"/>
        </w:rPr>
        <w:t xml:space="preserve">(iii) </w:t>
      </w:r>
      <w:r w:rsidR="00C4451F" w:rsidRPr="00452143">
        <w:rPr>
          <w:rFonts w:cs="Arial"/>
          <w:sz w:val="20"/>
          <w:szCs w:val="20"/>
        </w:rPr>
        <w:t>nuevo depósito de desmonte o su  recrecimiento que no se encuentren dentro de los supuestos de ITM.</w:t>
      </w:r>
    </w:p>
    <w:p w:rsidR="00452143" w:rsidRPr="00452143" w:rsidRDefault="00452143" w:rsidP="001B75C8">
      <w:pPr>
        <w:pStyle w:val="Prrafodelista"/>
        <w:spacing w:after="0" w:line="280" w:lineRule="exact"/>
        <w:rPr>
          <w:rFonts w:cs="Arial"/>
          <w:sz w:val="20"/>
          <w:szCs w:val="20"/>
        </w:rPr>
      </w:pPr>
    </w:p>
    <w:p w:rsidR="001E153C" w:rsidRDefault="0058642D" w:rsidP="005D6F4B">
      <w:pPr>
        <w:pStyle w:val="Prrafodelista"/>
        <w:widowControl w:val="0"/>
        <w:numPr>
          <w:ilvl w:val="1"/>
          <w:numId w:val="1"/>
        </w:numPr>
        <w:autoSpaceDE w:val="0"/>
        <w:autoSpaceDN w:val="0"/>
        <w:adjustRightInd w:val="0"/>
        <w:spacing w:after="0" w:line="280" w:lineRule="exact"/>
        <w:ind w:left="426" w:hanging="426"/>
        <w:jc w:val="both"/>
        <w:rPr>
          <w:rFonts w:cs="Arial"/>
          <w:sz w:val="20"/>
          <w:szCs w:val="20"/>
        </w:rPr>
      </w:pPr>
      <w:r w:rsidRPr="00A4304E">
        <w:rPr>
          <w:rFonts w:cs="Arial"/>
          <w:sz w:val="20"/>
          <w:szCs w:val="20"/>
        </w:rPr>
        <w:t>Igualmente</w:t>
      </w:r>
      <w:r w:rsidR="00C4451F" w:rsidRPr="00A4304E">
        <w:rPr>
          <w:rFonts w:cs="Arial"/>
          <w:sz w:val="20"/>
          <w:szCs w:val="20"/>
        </w:rPr>
        <w:t xml:space="preserve">, dicho numeral establece que </w:t>
      </w:r>
      <w:r w:rsidR="00C4451F" w:rsidRPr="00A4304E">
        <w:rPr>
          <w:rFonts w:eastAsia="Times New Roman" w:cs="Arial"/>
          <w:sz w:val="20"/>
          <w:szCs w:val="20"/>
          <w:lang w:eastAsia="es-ES"/>
        </w:rPr>
        <w:t xml:space="preserve">las modificaciones no contempladas </w:t>
      </w:r>
      <w:r w:rsidR="00A4304E" w:rsidRPr="00A4304E">
        <w:rPr>
          <w:rFonts w:eastAsia="Times New Roman" w:cs="Arial"/>
          <w:sz w:val="20"/>
          <w:szCs w:val="20"/>
          <w:lang w:eastAsia="es-ES"/>
        </w:rPr>
        <w:t xml:space="preserve">en los supuestos señalados </w:t>
      </w:r>
      <w:r w:rsidR="00C4451F" w:rsidRPr="00A4304E">
        <w:rPr>
          <w:rFonts w:eastAsia="Times New Roman" w:cs="Arial"/>
          <w:sz w:val="20"/>
          <w:szCs w:val="20"/>
          <w:lang w:eastAsia="es-ES"/>
        </w:rPr>
        <w:t>anteriormente serán aprobadas por la Gerencia General del titular de actividad minera o el órgano que haga sus veces dentro de la Unidad Minera o Unidad de Producción, conforme al Anexo 1 del</w:t>
      </w:r>
      <w:r w:rsidR="00C4451F" w:rsidRPr="00A4304E">
        <w:rPr>
          <w:rFonts w:cs="Arial"/>
          <w:sz w:val="20"/>
          <w:szCs w:val="20"/>
        </w:rPr>
        <w:t xml:space="preserve"> Reglamento de Seguridad y Salud Ocupacional, aprobado por Decreto Supremo N° 024-2016-EM y modificatorias</w:t>
      </w:r>
      <w:r w:rsidR="0019742A" w:rsidRPr="00A4304E">
        <w:rPr>
          <w:rFonts w:cs="Arial"/>
          <w:sz w:val="20"/>
          <w:szCs w:val="20"/>
        </w:rPr>
        <w:t>;</w:t>
      </w:r>
      <w:r w:rsidR="00C4451F" w:rsidRPr="00A4304E">
        <w:rPr>
          <w:rFonts w:cs="Arial"/>
          <w:sz w:val="20"/>
          <w:szCs w:val="20"/>
        </w:rPr>
        <w:t xml:space="preserve"> simplificando de esta</w:t>
      </w:r>
      <w:r w:rsidRPr="00A4304E">
        <w:rPr>
          <w:rFonts w:cs="Arial"/>
          <w:sz w:val="20"/>
          <w:szCs w:val="20"/>
        </w:rPr>
        <w:t xml:space="preserve"> forma </w:t>
      </w:r>
      <w:r w:rsidR="00A4304E" w:rsidRPr="00A4304E">
        <w:rPr>
          <w:rFonts w:cs="Arial"/>
          <w:sz w:val="20"/>
          <w:szCs w:val="20"/>
        </w:rPr>
        <w:t xml:space="preserve">un </w:t>
      </w:r>
      <w:r w:rsidR="00C4451F" w:rsidRPr="00A4304E">
        <w:rPr>
          <w:rFonts w:cs="Arial"/>
          <w:sz w:val="20"/>
          <w:szCs w:val="20"/>
        </w:rPr>
        <w:t xml:space="preserve">procedimiento que </w:t>
      </w:r>
      <w:r w:rsidR="00A4304E" w:rsidRPr="00A4304E">
        <w:rPr>
          <w:rFonts w:cs="Arial"/>
          <w:sz w:val="20"/>
          <w:szCs w:val="20"/>
        </w:rPr>
        <w:t>requería anteriormente ser evaluado</w:t>
      </w:r>
      <w:r w:rsidR="00C4451F" w:rsidRPr="00A4304E">
        <w:rPr>
          <w:rFonts w:cs="Arial"/>
          <w:sz w:val="20"/>
          <w:szCs w:val="20"/>
        </w:rPr>
        <w:t xml:space="preserve"> por la administración</w:t>
      </w:r>
      <w:r w:rsidRPr="00A4304E">
        <w:rPr>
          <w:rFonts w:cs="Arial"/>
          <w:sz w:val="20"/>
          <w:szCs w:val="20"/>
        </w:rPr>
        <w:t xml:space="preserve">, </w:t>
      </w:r>
      <w:r w:rsidR="00A4304E" w:rsidRPr="00A4304E">
        <w:rPr>
          <w:rFonts w:cs="Arial"/>
          <w:sz w:val="20"/>
          <w:szCs w:val="20"/>
        </w:rPr>
        <w:t>evitándose así</w:t>
      </w:r>
      <w:r w:rsidRPr="00A4304E">
        <w:rPr>
          <w:rFonts w:cs="Arial"/>
          <w:sz w:val="20"/>
          <w:szCs w:val="20"/>
        </w:rPr>
        <w:t xml:space="preserve"> </w:t>
      </w:r>
      <w:r w:rsidR="00A4304E">
        <w:rPr>
          <w:rFonts w:cs="Arial"/>
          <w:sz w:val="20"/>
          <w:szCs w:val="20"/>
        </w:rPr>
        <w:t>costos para el administrado y retraso a la inversión minera.</w:t>
      </w:r>
    </w:p>
    <w:p w:rsidR="00A4304E" w:rsidRPr="00A4304E" w:rsidRDefault="00A4304E" w:rsidP="00A4304E">
      <w:pPr>
        <w:widowControl w:val="0"/>
        <w:autoSpaceDE w:val="0"/>
        <w:autoSpaceDN w:val="0"/>
        <w:adjustRightInd w:val="0"/>
        <w:spacing w:after="0" w:line="280" w:lineRule="exact"/>
        <w:jc w:val="both"/>
        <w:rPr>
          <w:rFonts w:cs="Arial"/>
          <w:sz w:val="20"/>
          <w:szCs w:val="20"/>
        </w:rPr>
      </w:pPr>
    </w:p>
    <w:p w:rsidR="00CD42E6" w:rsidRPr="00A12830" w:rsidRDefault="00A4304E" w:rsidP="005D6F4B">
      <w:pPr>
        <w:pStyle w:val="Prrafodelista"/>
        <w:widowControl w:val="0"/>
        <w:numPr>
          <w:ilvl w:val="1"/>
          <w:numId w:val="1"/>
        </w:numPr>
        <w:autoSpaceDE w:val="0"/>
        <w:autoSpaceDN w:val="0"/>
        <w:adjustRightInd w:val="0"/>
        <w:spacing w:after="0" w:line="280" w:lineRule="exact"/>
        <w:ind w:left="426" w:hanging="426"/>
        <w:jc w:val="both"/>
        <w:rPr>
          <w:rFonts w:cs="Arial"/>
          <w:sz w:val="20"/>
          <w:szCs w:val="20"/>
        </w:rPr>
      </w:pPr>
      <w:r>
        <w:rPr>
          <w:rFonts w:cs="Arial"/>
          <w:sz w:val="20"/>
          <w:szCs w:val="20"/>
        </w:rPr>
        <w:t xml:space="preserve">En el mismo tenor el </w:t>
      </w:r>
      <w:r w:rsidR="001E153C" w:rsidRPr="00A12830">
        <w:rPr>
          <w:rFonts w:cs="Arial"/>
          <w:sz w:val="20"/>
          <w:szCs w:val="20"/>
        </w:rPr>
        <w:t>numeral 76.2</w:t>
      </w:r>
      <w:r>
        <w:rPr>
          <w:rFonts w:cs="Arial"/>
          <w:sz w:val="20"/>
          <w:szCs w:val="20"/>
        </w:rPr>
        <w:t xml:space="preserve"> del artículo 76 del proyecto de decreto supremo</w:t>
      </w:r>
      <w:r w:rsidR="00A12830" w:rsidRPr="00A12830">
        <w:rPr>
          <w:rFonts w:cs="Arial"/>
          <w:sz w:val="20"/>
          <w:szCs w:val="20"/>
        </w:rPr>
        <w:t xml:space="preserve">, </w:t>
      </w:r>
      <w:r w:rsidR="001E153C" w:rsidRPr="00A12830">
        <w:rPr>
          <w:rFonts w:cs="Arial"/>
          <w:sz w:val="20"/>
          <w:szCs w:val="20"/>
        </w:rPr>
        <w:t xml:space="preserve">establece que </w:t>
      </w:r>
      <w:r w:rsidR="00A12830">
        <w:rPr>
          <w:rFonts w:cs="Arial"/>
          <w:sz w:val="20"/>
          <w:szCs w:val="20"/>
        </w:rPr>
        <w:t xml:space="preserve">el titular minero </w:t>
      </w:r>
      <w:r w:rsidR="001E153C" w:rsidRPr="00A12830">
        <w:rPr>
          <w:rFonts w:cs="Arial"/>
          <w:sz w:val="20"/>
          <w:szCs w:val="20"/>
        </w:rPr>
        <w:t>n</w:t>
      </w:r>
      <w:r w:rsidR="00CD42E6" w:rsidRPr="00A12830">
        <w:rPr>
          <w:rFonts w:cs="Arial"/>
          <w:sz w:val="20"/>
          <w:szCs w:val="20"/>
        </w:rPr>
        <w:t>o requer</w:t>
      </w:r>
      <w:r w:rsidR="00A12830">
        <w:rPr>
          <w:rFonts w:cs="Arial"/>
          <w:sz w:val="20"/>
          <w:szCs w:val="20"/>
        </w:rPr>
        <w:t>irá</w:t>
      </w:r>
      <w:r w:rsidR="00CD42E6" w:rsidRPr="00A12830">
        <w:rPr>
          <w:rFonts w:cs="Arial"/>
          <w:sz w:val="20"/>
          <w:szCs w:val="20"/>
        </w:rPr>
        <w:t xml:space="preserve"> iniciar un procedimiento de modificación de la autorización de inicio o reinicio de las actividades de desarrollo, preparación y explotación (incluye plan de minado y botaderos), ni pres</w:t>
      </w:r>
      <w:r w:rsidR="00A12830">
        <w:rPr>
          <w:rFonts w:cs="Arial"/>
          <w:sz w:val="20"/>
          <w:szCs w:val="20"/>
        </w:rPr>
        <w:t>entar un Informe Técnico Minero;</w:t>
      </w:r>
      <w:r w:rsidR="00CD42E6" w:rsidRPr="00A12830">
        <w:rPr>
          <w:rFonts w:cs="Arial"/>
          <w:sz w:val="20"/>
          <w:szCs w:val="20"/>
        </w:rPr>
        <w:t xml:space="preserve"> siempre que</w:t>
      </w:r>
      <w:r w:rsidR="00A12830" w:rsidRPr="00A12830">
        <w:rPr>
          <w:rFonts w:cs="Arial"/>
          <w:sz w:val="20"/>
          <w:szCs w:val="20"/>
        </w:rPr>
        <w:t xml:space="preserve"> s</w:t>
      </w:r>
      <w:r w:rsidR="001E153C" w:rsidRPr="00A12830">
        <w:rPr>
          <w:rFonts w:cs="Arial"/>
          <w:sz w:val="20"/>
          <w:szCs w:val="20"/>
        </w:rPr>
        <w:t>e c</w:t>
      </w:r>
      <w:r w:rsidR="00A12830" w:rsidRPr="00A12830">
        <w:rPr>
          <w:rFonts w:cs="Arial"/>
          <w:sz w:val="20"/>
          <w:szCs w:val="20"/>
        </w:rPr>
        <w:t>uente</w:t>
      </w:r>
      <w:r>
        <w:rPr>
          <w:rFonts w:cs="Arial"/>
          <w:sz w:val="20"/>
          <w:szCs w:val="20"/>
        </w:rPr>
        <w:t>n</w:t>
      </w:r>
      <w:r w:rsidR="00CD42E6" w:rsidRPr="00A12830">
        <w:rPr>
          <w:rFonts w:cs="Arial"/>
          <w:sz w:val="20"/>
          <w:szCs w:val="20"/>
        </w:rPr>
        <w:t xml:space="preserve"> con la aprobación de alguna de las certificaciones ambientales siguientes: </w:t>
      </w:r>
      <w:r>
        <w:rPr>
          <w:rFonts w:cs="Arial"/>
          <w:sz w:val="20"/>
          <w:szCs w:val="20"/>
        </w:rPr>
        <w:t xml:space="preserve">Estudio de Impacto Ambiental (EIA), </w:t>
      </w:r>
      <w:r w:rsidR="00CD42E6" w:rsidRPr="00A12830">
        <w:rPr>
          <w:rFonts w:cs="Arial"/>
          <w:sz w:val="20"/>
          <w:szCs w:val="20"/>
        </w:rPr>
        <w:t xml:space="preserve">Informe Técnico </w:t>
      </w:r>
      <w:proofErr w:type="spellStart"/>
      <w:r w:rsidR="00CD42E6" w:rsidRPr="00A12830">
        <w:rPr>
          <w:rFonts w:cs="Arial"/>
          <w:sz w:val="20"/>
          <w:szCs w:val="20"/>
        </w:rPr>
        <w:t>Sustentatorio</w:t>
      </w:r>
      <w:proofErr w:type="spellEnd"/>
      <w:r w:rsidR="00CD42E6" w:rsidRPr="00A12830">
        <w:rPr>
          <w:rFonts w:cs="Arial"/>
          <w:sz w:val="20"/>
          <w:szCs w:val="20"/>
        </w:rPr>
        <w:t xml:space="preserve"> (ITS), Modificación de Estudio de Impacto Ambiental (MEIA), Estudio de Impacto Ambiental </w:t>
      </w:r>
      <w:proofErr w:type="spellStart"/>
      <w:r w:rsidR="00CD42E6" w:rsidRPr="00A12830">
        <w:rPr>
          <w:rFonts w:cs="Arial"/>
          <w:sz w:val="20"/>
          <w:szCs w:val="20"/>
        </w:rPr>
        <w:t>semi</w:t>
      </w:r>
      <w:proofErr w:type="spellEnd"/>
      <w:r w:rsidR="00CD42E6" w:rsidRPr="00A12830">
        <w:rPr>
          <w:rFonts w:cs="Arial"/>
          <w:sz w:val="20"/>
          <w:szCs w:val="20"/>
        </w:rPr>
        <w:t xml:space="preserve"> detallado (</w:t>
      </w:r>
      <w:proofErr w:type="spellStart"/>
      <w:r w:rsidR="00CD42E6" w:rsidRPr="00A12830">
        <w:rPr>
          <w:rFonts w:cs="Arial"/>
          <w:sz w:val="20"/>
          <w:szCs w:val="20"/>
        </w:rPr>
        <w:t>EIAsd</w:t>
      </w:r>
      <w:proofErr w:type="spellEnd"/>
      <w:r w:rsidR="00CD42E6" w:rsidRPr="00A12830">
        <w:rPr>
          <w:rFonts w:cs="Arial"/>
          <w:sz w:val="20"/>
          <w:szCs w:val="20"/>
        </w:rPr>
        <w:t xml:space="preserve">) o Memorias Técnicas Detalladas (MTD); </w:t>
      </w:r>
      <w:r w:rsidR="001E153C" w:rsidRPr="00A12830">
        <w:rPr>
          <w:rFonts w:cs="Arial"/>
          <w:sz w:val="20"/>
          <w:szCs w:val="20"/>
        </w:rPr>
        <w:t>s</w:t>
      </w:r>
      <w:r w:rsidR="00CD42E6" w:rsidRPr="00A12830">
        <w:rPr>
          <w:rFonts w:cs="Arial"/>
          <w:sz w:val="20"/>
          <w:szCs w:val="20"/>
        </w:rPr>
        <w:t>ean componentes auxiliares; y,</w:t>
      </w:r>
      <w:r w:rsidR="001E153C" w:rsidRPr="00A12830">
        <w:rPr>
          <w:rFonts w:cs="Arial"/>
          <w:sz w:val="20"/>
          <w:szCs w:val="20"/>
        </w:rPr>
        <w:t xml:space="preserve"> su</w:t>
      </w:r>
      <w:r w:rsidR="00CD42E6" w:rsidRPr="00A12830">
        <w:rPr>
          <w:rFonts w:cs="Arial"/>
          <w:sz w:val="20"/>
          <w:szCs w:val="20"/>
        </w:rPr>
        <w:t xml:space="preserve">s componentes se encuentren dentro del área efectiva aprobada en la certificación </w:t>
      </w:r>
      <w:r>
        <w:rPr>
          <w:rFonts w:cs="Arial"/>
          <w:sz w:val="20"/>
          <w:szCs w:val="20"/>
        </w:rPr>
        <w:t>ambiental original del proyecto, disponiéndose que los criterios técnicos para la aplicación de dichos supuestos son establecidos por Resolución Ministerial.</w:t>
      </w:r>
    </w:p>
    <w:p w:rsidR="00CD42E6" w:rsidRPr="001E153C" w:rsidRDefault="00CD42E6" w:rsidP="005D6F4B">
      <w:pPr>
        <w:spacing w:after="0" w:line="280" w:lineRule="exact"/>
        <w:rPr>
          <w:rFonts w:cs="Arial"/>
          <w:sz w:val="20"/>
          <w:szCs w:val="20"/>
        </w:rPr>
      </w:pPr>
    </w:p>
    <w:p w:rsidR="001959C6" w:rsidRPr="0055596A" w:rsidRDefault="0058642D" w:rsidP="00F5716E">
      <w:pPr>
        <w:pStyle w:val="Prrafodelista"/>
        <w:widowControl w:val="0"/>
        <w:numPr>
          <w:ilvl w:val="1"/>
          <w:numId w:val="1"/>
        </w:numPr>
        <w:autoSpaceDE w:val="0"/>
        <w:autoSpaceDN w:val="0"/>
        <w:adjustRightInd w:val="0"/>
        <w:spacing w:after="0" w:line="280" w:lineRule="exact"/>
        <w:ind w:left="426" w:hanging="426"/>
        <w:jc w:val="both"/>
        <w:rPr>
          <w:rFonts w:cs="Arial"/>
          <w:sz w:val="20"/>
          <w:szCs w:val="20"/>
        </w:rPr>
      </w:pPr>
      <w:r w:rsidRPr="00CD42E6">
        <w:rPr>
          <w:rFonts w:cs="Arial"/>
          <w:sz w:val="20"/>
          <w:szCs w:val="20"/>
        </w:rPr>
        <w:t xml:space="preserve">De la misma manera, el </w:t>
      </w:r>
      <w:r w:rsidR="00A4304E">
        <w:rPr>
          <w:rFonts w:cs="Arial"/>
          <w:sz w:val="20"/>
          <w:szCs w:val="20"/>
        </w:rPr>
        <w:t xml:space="preserve">numeral 76.7 del </w:t>
      </w:r>
      <w:r w:rsidRPr="00CD42E6">
        <w:rPr>
          <w:rFonts w:cs="Arial"/>
          <w:sz w:val="20"/>
          <w:szCs w:val="20"/>
        </w:rPr>
        <w:t>artículo 76</w:t>
      </w:r>
      <w:r w:rsidR="00A4304E">
        <w:rPr>
          <w:rFonts w:cs="Arial"/>
          <w:sz w:val="20"/>
          <w:szCs w:val="20"/>
        </w:rPr>
        <w:t xml:space="preserve"> del proyecto de decreto supremo</w:t>
      </w:r>
      <w:r w:rsidRPr="00CD42E6">
        <w:rPr>
          <w:rFonts w:cs="Arial"/>
          <w:sz w:val="20"/>
          <w:szCs w:val="20"/>
        </w:rPr>
        <w:t xml:space="preserve"> establece que en caso las actividades consideradas como actividad minera continua requieran de cambio en el método de explotación superficial a subterráneo o viceversa o la incorporación de nuevos tajos y nuevos botaderos,</w:t>
      </w:r>
      <w:r w:rsidRPr="00DE507C">
        <w:rPr>
          <w:rFonts w:cs="Arial"/>
          <w:sz w:val="20"/>
          <w:szCs w:val="20"/>
        </w:rPr>
        <w:t xml:space="preserve"> el titular de actividad minera debe solicitar la autorización de inicio correspondiente a la Dirección General de Minería o Gobierno Regional, conforme al procedimiento señalado en el </w:t>
      </w:r>
      <w:r w:rsidR="00EF7EA0">
        <w:rPr>
          <w:rFonts w:cs="Arial"/>
          <w:sz w:val="20"/>
          <w:szCs w:val="20"/>
        </w:rPr>
        <w:t>numeral 76.1 del mismo artículo</w:t>
      </w:r>
      <w:r w:rsidR="001959C6" w:rsidRPr="0055596A">
        <w:rPr>
          <w:rFonts w:cs="Arial"/>
          <w:sz w:val="20"/>
          <w:szCs w:val="20"/>
        </w:rPr>
        <w:t>.</w:t>
      </w:r>
    </w:p>
    <w:p w:rsidR="001959C6" w:rsidRPr="0055596A" w:rsidRDefault="001959C6" w:rsidP="00F5716E">
      <w:pPr>
        <w:spacing w:after="0" w:line="280" w:lineRule="exact"/>
        <w:rPr>
          <w:rFonts w:cs="Calibri"/>
          <w:sz w:val="20"/>
          <w:szCs w:val="20"/>
        </w:rPr>
      </w:pPr>
    </w:p>
    <w:p w:rsidR="001B75C8" w:rsidRDefault="001B75C8" w:rsidP="00F5716E">
      <w:pPr>
        <w:spacing w:after="0" w:line="280" w:lineRule="exact"/>
        <w:ind w:right="-142"/>
        <w:jc w:val="both"/>
        <w:rPr>
          <w:rFonts w:cs="Arial"/>
          <w:b/>
          <w:sz w:val="20"/>
          <w:szCs w:val="20"/>
          <w:u w:val="single"/>
        </w:rPr>
      </w:pPr>
      <w:r w:rsidRPr="0055596A">
        <w:rPr>
          <w:rFonts w:cs="Arial"/>
          <w:b/>
          <w:sz w:val="20"/>
          <w:szCs w:val="20"/>
          <w:u w:val="single"/>
        </w:rPr>
        <w:lastRenderedPageBreak/>
        <w:t>Disposición complementaria final</w:t>
      </w:r>
    </w:p>
    <w:p w:rsidR="00EF7EA0" w:rsidRPr="0055596A" w:rsidRDefault="00EF7EA0" w:rsidP="00F5716E">
      <w:pPr>
        <w:spacing w:after="0" w:line="280" w:lineRule="exact"/>
        <w:ind w:right="-142"/>
        <w:jc w:val="both"/>
        <w:rPr>
          <w:rFonts w:cs="Arial"/>
          <w:b/>
          <w:sz w:val="20"/>
          <w:szCs w:val="20"/>
          <w:u w:val="single"/>
        </w:rPr>
      </w:pPr>
    </w:p>
    <w:p w:rsidR="00F5716E" w:rsidRDefault="00ED6F78" w:rsidP="00F5716E">
      <w:pPr>
        <w:pStyle w:val="Prrafodelista"/>
        <w:numPr>
          <w:ilvl w:val="1"/>
          <w:numId w:val="1"/>
        </w:numPr>
        <w:tabs>
          <w:tab w:val="left" w:pos="426"/>
        </w:tabs>
        <w:spacing w:after="0" w:line="280" w:lineRule="exact"/>
        <w:ind w:left="426" w:right="-142" w:hanging="426"/>
        <w:jc w:val="both"/>
        <w:rPr>
          <w:rFonts w:eastAsia="Times New Roman" w:cs="Arial"/>
          <w:sz w:val="20"/>
          <w:szCs w:val="20"/>
          <w:lang w:val="es-ES" w:eastAsia="es-ES"/>
        </w:rPr>
      </w:pPr>
      <w:r w:rsidRPr="00EF7EA0">
        <w:rPr>
          <w:rFonts w:cs="Calibri"/>
          <w:sz w:val="20"/>
          <w:szCs w:val="20"/>
        </w:rPr>
        <w:t>El proyecto de norma establece que e</w:t>
      </w:r>
      <w:r w:rsidR="0055596A" w:rsidRPr="00EF7EA0">
        <w:rPr>
          <w:rFonts w:eastAsia="Times New Roman" w:cs="Arial"/>
          <w:sz w:val="20"/>
          <w:szCs w:val="20"/>
          <w:lang w:val="es-ES" w:eastAsia="es-ES"/>
        </w:rPr>
        <w:t xml:space="preserve">n caso de </w:t>
      </w:r>
      <w:r w:rsidR="00EF7EA0" w:rsidRPr="00EF7EA0">
        <w:rPr>
          <w:rFonts w:eastAsia="Times New Roman" w:cs="Arial"/>
          <w:sz w:val="20"/>
          <w:szCs w:val="20"/>
          <w:lang w:val="es-ES" w:eastAsia="es-ES"/>
        </w:rPr>
        <w:t>E</w:t>
      </w:r>
      <w:r w:rsidR="0055596A" w:rsidRPr="00EF7EA0">
        <w:rPr>
          <w:rFonts w:eastAsia="Times New Roman" w:cs="Arial"/>
          <w:sz w:val="20"/>
          <w:szCs w:val="20"/>
          <w:lang w:val="es-ES" w:eastAsia="es-ES"/>
        </w:rPr>
        <w:t xml:space="preserve">mergencia </w:t>
      </w:r>
      <w:r w:rsidR="00EF7EA0" w:rsidRPr="00EF7EA0">
        <w:rPr>
          <w:rFonts w:eastAsia="Times New Roman" w:cs="Arial"/>
          <w:sz w:val="20"/>
          <w:szCs w:val="20"/>
          <w:lang w:val="es-ES" w:eastAsia="es-ES"/>
        </w:rPr>
        <w:t>M</w:t>
      </w:r>
      <w:r w:rsidR="0055596A" w:rsidRPr="00EF7EA0">
        <w:rPr>
          <w:rFonts w:eastAsia="Times New Roman" w:cs="Arial"/>
          <w:sz w:val="20"/>
          <w:szCs w:val="20"/>
          <w:lang w:val="es-ES" w:eastAsia="es-ES"/>
        </w:rPr>
        <w:t xml:space="preserve">inera que ocasionen inminentes peligros para la seguridad de las personas y de la infraestructura minera, los titulares de actividad minera pueden ejecutar de manera inmediata medidas que no fueron </w:t>
      </w:r>
      <w:r w:rsidR="00EF7EA0" w:rsidRPr="00EF7EA0">
        <w:rPr>
          <w:rFonts w:eastAsia="Times New Roman" w:cs="Arial"/>
          <w:sz w:val="20"/>
          <w:szCs w:val="20"/>
          <w:lang w:val="es-ES" w:eastAsia="es-ES"/>
        </w:rPr>
        <w:t>incorporadas en el</w:t>
      </w:r>
      <w:r w:rsidR="0055596A" w:rsidRPr="00EF7EA0">
        <w:rPr>
          <w:rFonts w:eastAsia="Times New Roman" w:cs="Arial"/>
          <w:sz w:val="20"/>
          <w:szCs w:val="20"/>
          <w:lang w:val="es-ES" w:eastAsia="es-ES"/>
        </w:rPr>
        <w:t xml:space="preserve"> Plan de Preparación y Respuesta para Emergencias considerado en el artículo 148 del Reglamento de Seguridad y Salud Ocupacional en Minería, aprobado por Decreto Supremo N° 024-2017-EM</w:t>
      </w:r>
      <w:r w:rsidR="00EF7EA0">
        <w:rPr>
          <w:rFonts w:eastAsia="Times New Roman" w:cs="Arial"/>
          <w:sz w:val="20"/>
          <w:szCs w:val="20"/>
          <w:lang w:val="es-ES" w:eastAsia="es-ES"/>
        </w:rPr>
        <w:t xml:space="preserve"> y modificatoria.</w:t>
      </w:r>
    </w:p>
    <w:p w:rsidR="00EF7EA0" w:rsidRPr="00EF7EA0" w:rsidRDefault="00EF7EA0" w:rsidP="00EF7EA0">
      <w:pPr>
        <w:pStyle w:val="Prrafodelista"/>
        <w:tabs>
          <w:tab w:val="left" w:pos="426"/>
        </w:tabs>
        <w:spacing w:after="0" w:line="280" w:lineRule="exact"/>
        <w:ind w:left="426" w:right="-142"/>
        <w:jc w:val="both"/>
        <w:rPr>
          <w:rFonts w:eastAsia="Times New Roman" w:cs="Arial"/>
          <w:sz w:val="20"/>
          <w:szCs w:val="20"/>
          <w:lang w:val="es-ES" w:eastAsia="es-ES"/>
        </w:rPr>
      </w:pPr>
    </w:p>
    <w:p w:rsidR="0055596A" w:rsidRPr="0055596A" w:rsidRDefault="00F5716E" w:rsidP="00F5716E">
      <w:pPr>
        <w:pStyle w:val="Prrafodelista"/>
        <w:tabs>
          <w:tab w:val="left" w:pos="426"/>
        </w:tabs>
        <w:spacing w:after="0" w:line="280" w:lineRule="exact"/>
        <w:ind w:left="426" w:right="-142"/>
        <w:jc w:val="both"/>
        <w:rPr>
          <w:rFonts w:eastAsia="Times New Roman" w:cs="Arial"/>
          <w:sz w:val="20"/>
          <w:szCs w:val="20"/>
          <w:lang w:val="es-ES" w:eastAsia="es-ES"/>
        </w:rPr>
      </w:pPr>
      <w:r>
        <w:rPr>
          <w:rFonts w:eastAsia="Times New Roman" w:cs="Arial"/>
          <w:sz w:val="20"/>
          <w:szCs w:val="20"/>
          <w:lang w:val="es-ES" w:eastAsia="es-ES"/>
        </w:rPr>
        <w:t>Se debe señalar, que dicha disposición es adopta</w:t>
      </w:r>
      <w:r w:rsidR="001C5F34">
        <w:rPr>
          <w:rFonts w:eastAsia="Times New Roman" w:cs="Arial"/>
          <w:sz w:val="20"/>
          <w:szCs w:val="20"/>
          <w:lang w:val="es-ES" w:eastAsia="es-ES"/>
        </w:rPr>
        <w:t>da</w:t>
      </w:r>
      <w:r>
        <w:rPr>
          <w:rFonts w:eastAsia="Times New Roman" w:cs="Arial"/>
          <w:sz w:val="20"/>
          <w:szCs w:val="20"/>
          <w:lang w:val="es-ES" w:eastAsia="es-ES"/>
        </w:rPr>
        <w:t xml:space="preserve"> con la finalidad de que </w:t>
      </w:r>
      <w:r w:rsidRPr="00ED6F78">
        <w:rPr>
          <w:rFonts w:eastAsia="Times New Roman" w:cs="Arial"/>
          <w:sz w:val="20"/>
          <w:szCs w:val="20"/>
          <w:lang w:val="es-ES" w:eastAsia="es-ES"/>
        </w:rPr>
        <w:t>los titulares</w:t>
      </w:r>
      <w:r>
        <w:rPr>
          <w:rFonts w:eastAsia="Times New Roman" w:cs="Arial"/>
          <w:sz w:val="20"/>
          <w:szCs w:val="20"/>
          <w:lang w:val="es-ES" w:eastAsia="es-ES"/>
        </w:rPr>
        <w:t xml:space="preserve"> mineros </w:t>
      </w:r>
      <w:r w:rsidRPr="00ED6F78">
        <w:rPr>
          <w:rFonts w:eastAsia="Times New Roman" w:cs="Arial"/>
          <w:sz w:val="20"/>
          <w:szCs w:val="20"/>
          <w:lang w:val="es-ES" w:eastAsia="es-ES"/>
        </w:rPr>
        <w:t xml:space="preserve"> pueden</w:t>
      </w:r>
      <w:r>
        <w:rPr>
          <w:rFonts w:eastAsia="Times New Roman" w:cs="Arial"/>
          <w:sz w:val="20"/>
          <w:szCs w:val="20"/>
          <w:lang w:val="es-ES" w:eastAsia="es-ES"/>
        </w:rPr>
        <w:t xml:space="preserve"> actuar de manera inmediata y eficaz ante cualquier emergencia</w:t>
      </w:r>
      <w:r w:rsidR="001C5F34">
        <w:rPr>
          <w:rFonts w:eastAsia="Times New Roman" w:cs="Arial"/>
          <w:sz w:val="20"/>
          <w:szCs w:val="20"/>
          <w:lang w:val="es-ES" w:eastAsia="es-ES"/>
        </w:rPr>
        <w:t>;</w:t>
      </w:r>
      <w:r>
        <w:rPr>
          <w:rFonts w:eastAsia="Times New Roman" w:cs="Arial"/>
          <w:sz w:val="20"/>
          <w:szCs w:val="20"/>
          <w:lang w:val="es-ES" w:eastAsia="es-ES"/>
        </w:rPr>
        <w:t xml:space="preserve"> </w:t>
      </w:r>
      <w:r w:rsidR="00EF7EA0">
        <w:rPr>
          <w:rFonts w:eastAsia="Times New Roman" w:cs="Arial"/>
          <w:sz w:val="20"/>
          <w:szCs w:val="20"/>
          <w:lang w:val="es-ES" w:eastAsia="es-ES"/>
        </w:rPr>
        <w:t>siempre que</w:t>
      </w:r>
      <w:r>
        <w:rPr>
          <w:rFonts w:eastAsia="Times New Roman" w:cs="Arial"/>
          <w:sz w:val="20"/>
          <w:szCs w:val="20"/>
          <w:lang w:val="es-ES" w:eastAsia="es-ES"/>
        </w:rPr>
        <w:t xml:space="preserve">  dichas </w:t>
      </w:r>
      <w:r w:rsidR="0055596A" w:rsidRPr="0055596A">
        <w:rPr>
          <w:rFonts w:eastAsia="Times New Roman" w:cs="Arial"/>
          <w:sz w:val="20"/>
          <w:szCs w:val="20"/>
          <w:lang w:val="es-ES" w:eastAsia="es-ES"/>
        </w:rPr>
        <w:t xml:space="preserve">medidas </w:t>
      </w:r>
      <w:r w:rsidR="00EF7EA0">
        <w:rPr>
          <w:rFonts w:eastAsia="Times New Roman" w:cs="Arial"/>
          <w:sz w:val="20"/>
          <w:szCs w:val="20"/>
          <w:lang w:val="es-ES" w:eastAsia="es-ES"/>
        </w:rPr>
        <w:t xml:space="preserve">sean </w:t>
      </w:r>
      <w:r w:rsidR="0055596A" w:rsidRPr="0055596A">
        <w:rPr>
          <w:rFonts w:eastAsia="Times New Roman" w:cs="Arial"/>
          <w:sz w:val="20"/>
          <w:szCs w:val="20"/>
          <w:lang w:val="es-ES" w:eastAsia="es-ES"/>
        </w:rPr>
        <w:t>sustentadas técnicamente, dándose cuenta a la Dirección General de Minería o Gobierno Regional correspondiente y a la autoridad fiscalizadora dentro del plazo máximo de tr</w:t>
      </w:r>
      <w:r w:rsidR="00EF7EA0">
        <w:rPr>
          <w:rFonts w:eastAsia="Times New Roman" w:cs="Arial"/>
          <w:sz w:val="20"/>
          <w:szCs w:val="20"/>
          <w:lang w:val="es-ES" w:eastAsia="es-ES"/>
        </w:rPr>
        <w:t>es días a partir de producida la emergencia</w:t>
      </w:r>
      <w:r>
        <w:rPr>
          <w:rFonts w:eastAsia="Times New Roman" w:cs="Arial"/>
          <w:sz w:val="20"/>
          <w:szCs w:val="20"/>
          <w:lang w:val="es-ES" w:eastAsia="es-ES"/>
        </w:rPr>
        <w:t xml:space="preserve">, en aras de su respectiva supervisión. </w:t>
      </w:r>
      <w:r w:rsidR="0055596A" w:rsidRPr="0055596A">
        <w:rPr>
          <w:rFonts w:eastAsia="Times New Roman" w:cs="Arial"/>
          <w:sz w:val="20"/>
          <w:szCs w:val="20"/>
          <w:lang w:val="es-ES" w:eastAsia="es-ES"/>
        </w:rPr>
        <w:t xml:space="preserve">  </w:t>
      </w:r>
    </w:p>
    <w:p w:rsidR="001B75C8" w:rsidRPr="0055596A" w:rsidRDefault="001B75C8" w:rsidP="00F5716E">
      <w:pPr>
        <w:spacing w:after="0" w:line="280" w:lineRule="exact"/>
        <w:rPr>
          <w:rFonts w:cs="Calibri"/>
          <w:sz w:val="20"/>
          <w:szCs w:val="20"/>
        </w:rPr>
      </w:pPr>
    </w:p>
    <w:p w:rsidR="007D3166" w:rsidRDefault="007D3166" w:rsidP="00F5716E">
      <w:pPr>
        <w:spacing w:after="0" w:line="280" w:lineRule="exact"/>
        <w:ind w:right="-142"/>
        <w:jc w:val="both"/>
        <w:rPr>
          <w:rFonts w:cs="Arial"/>
          <w:b/>
          <w:sz w:val="20"/>
          <w:szCs w:val="20"/>
          <w:u w:val="single"/>
        </w:rPr>
      </w:pPr>
      <w:r w:rsidRPr="0055596A">
        <w:rPr>
          <w:rFonts w:cs="Arial"/>
          <w:b/>
          <w:sz w:val="20"/>
          <w:szCs w:val="20"/>
          <w:u w:val="single"/>
        </w:rPr>
        <w:t>Disposición complementaria modificatoria</w:t>
      </w:r>
    </w:p>
    <w:p w:rsidR="00EF7EA0" w:rsidRPr="0055596A" w:rsidRDefault="00EF7EA0" w:rsidP="00F5716E">
      <w:pPr>
        <w:spacing w:after="0" w:line="280" w:lineRule="exact"/>
        <w:ind w:right="-142"/>
        <w:jc w:val="both"/>
        <w:rPr>
          <w:rFonts w:cs="Arial"/>
          <w:b/>
          <w:sz w:val="20"/>
          <w:szCs w:val="20"/>
          <w:u w:val="single"/>
        </w:rPr>
      </w:pPr>
    </w:p>
    <w:p w:rsidR="00326584" w:rsidRPr="00326584" w:rsidRDefault="00EF7EA0" w:rsidP="00F5716E">
      <w:pPr>
        <w:pStyle w:val="Prrafodelista"/>
        <w:widowControl w:val="0"/>
        <w:numPr>
          <w:ilvl w:val="1"/>
          <w:numId w:val="1"/>
        </w:numPr>
        <w:autoSpaceDE w:val="0"/>
        <w:autoSpaceDN w:val="0"/>
        <w:adjustRightInd w:val="0"/>
        <w:spacing w:after="0" w:line="280" w:lineRule="exact"/>
        <w:ind w:left="426" w:hanging="426"/>
        <w:jc w:val="both"/>
        <w:rPr>
          <w:rFonts w:cs="Calibri"/>
          <w:sz w:val="20"/>
          <w:szCs w:val="20"/>
        </w:rPr>
      </w:pPr>
      <w:r>
        <w:rPr>
          <w:rFonts w:cs="Calibri"/>
          <w:sz w:val="20"/>
          <w:szCs w:val="20"/>
        </w:rPr>
        <w:t>La</w:t>
      </w:r>
      <w:r w:rsidR="001959C6" w:rsidRPr="0055596A">
        <w:rPr>
          <w:rFonts w:cs="Calibri"/>
          <w:sz w:val="20"/>
          <w:szCs w:val="20"/>
        </w:rPr>
        <w:t xml:space="preserve"> única disposición completaría</w:t>
      </w:r>
      <w:r w:rsidR="00ED6F78">
        <w:rPr>
          <w:rFonts w:cs="Calibri"/>
          <w:sz w:val="20"/>
          <w:szCs w:val="20"/>
        </w:rPr>
        <w:t xml:space="preserve"> modificatoria</w:t>
      </w:r>
      <w:r w:rsidR="001959C6" w:rsidRPr="0055596A">
        <w:rPr>
          <w:rFonts w:cs="Calibri"/>
          <w:sz w:val="20"/>
          <w:szCs w:val="20"/>
        </w:rPr>
        <w:t xml:space="preserve"> del proyecto </w:t>
      </w:r>
      <w:r w:rsidR="00291DD3" w:rsidRPr="0055596A">
        <w:rPr>
          <w:rFonts w:cs="Calibri"/>
          <w:sz w:val="20"/>
          <w:szCs w:val="20"/>
        </w:rPr>
        <w:t>modifica el artículo 2 del Decreto Supremo N° 003-2016-EM</w:t>
      </w:r>
      <w:r w:rsidR="008C7A06" w:rsidRPr="0055596A">
        <w:rPr>
          <w:rFonts w:cs="Calibri"/>
          <w:sz w:val="20"/>
          <w:szCs w:val="20"/>
        </w:rPr>
        <w:t xml:space="preserve"> para establecer precisiones respecto a los supuestos </w:t>
      </w:r>
      <w:r>
        <w:rPr>
          <w:rFonts w:cs="Calibri"/>
          <w:sz w:val="20"/>
          <w:szCs w:val="20"/>
        </w:rPr>
        <w:t>que determinan la presentación de un</w:t>
      </w:r>
      <w:r w:rsidR="008C7A06" w:rsidRPr="0055596A">
        <w:rPr>
          <w:rFonts w:cs="Calibri"/>
          <w:sz w:val="20"/>
          <w:szCs w:val="20"/>
        </w:rPr>
        <w:t xml:space="preserve"> informe técnico minero</w:t>
      </w:r>
      <w:r>
        <w:rPr>
          <w:rFonts w:cs="Calibri"/>
          <w:sz w:val="20"/>
          <w:szCs w:val="20"/>
        </w:rPr>
        <w:t>. Dichos supuestos son:</w:t>
      </w:r>
      <w:r w:rsidR="008C7A06" w:rsidRPr="0055596A">
        <w:rPr>
          <w:rFonts w:cs="Calibri"/>
          <w:sz w:val="20"/>
          <w:szCs w:val="20"/>
        </w:rPr>
        <w:t xml:space="preserve"> </w:t>
      </w:r>
      <w:r>
        <w:rPr>
          <w:rFonts w:cs="Calibri"/>
          <w:sz w:val="20"/>
          <w:szCs w:val="20"/>
        </w:rPr>
        <w:t xml:space="preserve">(i) </w:t>
      </w:r>
      <w:r w:rsidR="008C7A06" w:rsidRPr="00EF7EA0">
        <w:rPr>
          <w:rFonts w:cs="Arial"/>
          <w:sz w:val="20"/>
          <w:szCs w:val="20"/>
        </w:rPr>
        <w:t xml:space="preserve">modificaciones fuera del plan de minado aprobado, y </w:t>
      </w:r>
      <w:r>
        <w:rPr>
          <w:rFonts w:cs="Arial"/>
          <w:sz w:val="20"/>
          <w:szCs w:val="20"/>
        </w:rPr>
        <w:t xml:space="preserve">(ii) </w:t>
      </w:r>
      <w:r w:rsidR="008C7A06" w:rsidRPr="00EF7EA0">
        <w:rPr>
          <w:rFonts w:cs="Arial"/>
          <w:sz w:val="20"/>
          <w:szCs w:val="20"/>
        </w:rPr>
        <w:t>modificación de la altura y/o extensión no mayor o igual al 20% del depósito de desmontes</w:t>
      </w:r>
      <w:r>
        <w:rPr>
          <w:rFonts w:cs="Arial"/>
          <w:sz w:val="20"/>
          <w:szCs w:val="20"/>
        </w:rPr>
        <w:t>.</w:t>
      </w:r>
    </w:p>
    <w:p w:rsidR="00A313AD" w:rsidRDefault="00A313AD" w:rsidP="005D6F4B">
      <w:pPr>
        <w:spacing w:after="0" w:line="280" w:lineRule="exact"/>
        <w:rPr>
          <w:rFonts w:cs="Arial"/>
          <w:sz w:val="20"/>
          <w:szCs w:val="20"/>
        </w:rPr>
      </w:pPr>
    </w:p>
    <w:p w:rsidR="00BA4C7E" w:rsidRDefault="00BA4C7E" w:rsidP="005D6F4B">
      <w:pPr>
        <w:spacing w:after="0" w:line="280" w:lineRule="exact"/>
        <w:ind w:right="-142"/>
        <w:jc w:val="both"/>
        <w:rPr>
          <w:rFonts w:cs="Arial"/>
          <w:b/>
          <w:sz w:val="20"/>
          <w:szCs w:val="20"/>
          <w:u w:val="single"/>
        </w:rPr>
      </w:pPr>
      <w:r>
        <w:rPr>
          <w:rFonts w:cs="Arial"/>
          <w:b/>
          <w:sz w:val="20"/>
          <w:szCs w:val="20"/>
          <w:u w:val="single"/>
        </w:rPr>
        <w:t>D</w:t>
      </w:r>
      <w:r w:rsidRPr="007D3166">
        <w:rPr>
          <w:rFonts w:cs="Arial"/>
          <w:b/>
          <w:sz w:val="20"/>
          <w:szCs w:val="20"/>
          <w:u w:val="single"/>
        </w:rPr>
        <w:t>isposición complementaria</w:t>
      </w:r>
      <w:r>
        <w:rPr>
          <w:rFonts w:cs="Arial"/>
          <w:b/>
          <w:sz w:val="20"/>
          <w:szCs w:val="20"/>
          <w:u w:val="single"/>
        </w:rPr>
        <w:t xml:space="preserve"> </w:t>
      </w:r>
      <w:r w:rsidR="00EF7EA0">
        <w:rPr>
          <w:rFonts w:cs="Arial"/>
          <w:b/>
          <w:sz w:val="20"/>
          <w:szCs w:val="20"/>
          <w:u w:val="single"/>
        </w:rPr>
        <w:t>transitoria</w:t>
      </w:r>
    </w:p>
    <w:p w:rsidR="00EF7EA0" w:rsidRPr="00BA4C7E" w:rsidRDefault="00EF7EA0" w:rsidP="005D6F4B">
      <w:pPr>
        <w:spacing w:after="0" w:line="280" w:lineRule="exact"/>
        <w:ind w:right="-142"/>
        <w:jc w:val="both"/>
        <w:rPr>
          <w:rFonts w:cs="Arial"/>
          <w:b/>
          <w:sz w:val="20"/>
          <w:szCs w:val="20"/>
          <w:u w:val="single"/>
        </w:rPr>
      </w:pPr>
    </w:p>
    <w:p w:rsidR="00EF7EA0" w:rsidRPr="00EF7EA0" w:rsidRDefault="00326584" w:rsidP="00EF7EA0">
      <w:pPr>
        <w:pStyle w:val="Prrafodelista"/>
        <w:widowControl w:val="0"/>
        <w:numPr>
          <w:ilvl w:val="1"/>
          <w:numId w:val="1"/>
        </w:numPr>
        <w:autoSpaceDE w:val="0"/>
        <w:autoSpaceDN w:val="0"/>
        <w:adjustRightInd w:val="0"/>
        <w:spacing w:after="0" w:line="280" w:lineRule="exact"/>
        <w:ind w:left="426" w:hanging="426"/>
        <w:jc w:val="both"/>
        <w:rPr>
          <w:rFonts w:cs="Calibri"/>
          <w:sz w:val="20"/>
          <w:szCs w:val="20"/>
        </w:rPr>
      </w:pPr>
      <w:r w:rsidRPr="00326584">
        <w:rPr>
          <w:rFonts w:cs="Arial"/>
          <w:sz w:val="20"/>
          <w:szCs w:val="20"/>
        </w:rPr>
        <w:t xml:space="preserve">Como consecuencia de las modificaciones expuestas, se establece que los procedimientos que se encuentren en trámite deberán adecuarse a las disposiciones del proyecto normativo, en lo que sea aplicable, y se deroga los artículos 3, 5 y 6 del Decreto Supremo Nº  001-2015-EM. </w:t>
      </w:r>
    </w:p>
    <w:p w:rsidR="00EF7EA0" w:rsidRPr="00EF7EA0" w:rsidRDefault="00EF7EA0" w:rsidP="00EF7EA0">
      <w:pPr>
        <w:pStyle w:val="Prrafodelista"/>
        <w:widowControl w:val="0"/>
        <w:autoSpaceDE w:val="0"/>
        <w:autoSpaceDN w:val="0"/>
        <w:adjustRightInd w:val="0"/>
        <w:spacing w:after="0" w:line="280" w:lineRule="exact"/>
        <w:ind w:left="426"/>
        <w:jc w:val="both"/>
        <w:rPr>
          <w:rFonts w:cs="Calibri"/>
          <w:sz w:val="20"/>
          <w:szCs w:val="20"/>
        </w:rPr>
      </w:pPr>
    </w:p>
    <w:p w:rsidR="00EF7EA0" w:rsidRDefault="00EF7EA0" w:rsidP="00EF7EA0">
      <w:pPr>
        <w:spacing w:after="0" w:line="280" w:lineRule="exact"/>
        <w:ind w:right="-142"/>
        <w:jc w:val="both"/>
        <w:rPr>
          <w:rFonts w:cs="Arial"/>
          <w:b/>
          <w:sz w:val="20"/>
          <w:szCs w:val="20"/>
          <w:u w:val="single"/>
        </w:rPr>
      </w:pPr>
      <w:r w:rsidRPr="00EF7EA0">
        <w:rPr>
          <w:rFonts w:cs="Arial"/>
          <w:b/>
          <w:sz w:val="20"/>
          <w:szCs w:val="20"/>
          <w:u w:val="single"/>
        </w:rPr>
        <w:t>Disposición complementaria transitoria</w:t>
      </w:r>
    </w:p>
    <w:p w:rsidR="00EF7EA0" w:rsidRDefault="00EF7EA0" w:rsidP="00EF7EA0">
      <w:pPr>
        <w:spacing w:after="0" w:line="280" w:lineRule="exact"/>
        <w:ind w:right="-142"/>
        <w:jc w:val="both"/>
        <w:rPr>
          <w:rFonts w:cs="Arial"/>
          <w:b/>
          <w:sz w:val="20"/>
          <w:szCs w:val="20"/>
          <w:u w:val="single"/>
        </w:rPr>
      </w:pPr>
    </w:p>
    <w:p w:rsidR="00EF7EA0" w:rsidRPr="00EF7EA0" w:rsidRDefault="00EF7EA0" w:rsidP="00EF7EA0">
      <w:pPr>
        <w:pStyle w:val="Prrafodelista"/>
        <w:widowControl w:val="0"/>
        <w:numPr>
          <w:ilvl w:val="1"/>
          <w:numId w:val="1"/>
        </w:numPr>
        <w:autoSpaceDE w:val="0"/>
        <w:autoSpaceDN w:val="0"/>
        <w:adjustRightInd w:val="0"/>
        <w:spacing w:after="0" w:line="280" w:lineRule="exact"/>
        <w:ind w:left="426" w:hanging="426"/>
        <w:jc w:val="both"/>
        <w:rPr>
          <w:rFonts w:cs="Arial"/>
          <w:sz w:val="20"/>
          <w:szCs w:val="20"/>
        </w:rPr>
      </w:pPr>
      <w:r>
        <w:rPr>
          <w:rFonts w:cs="Arial"/>
          <w:sz w:val="20"/>
          <w:szCs w:val="20"/>
        </w:rPr>
        <w:t>Como consecuencia de las modificaciones introducidas en el proyecto de decreto supremo, corresponde d</w:t>
      </w:r>
      <w:r w:rsidRPr="00EF7EA0">
        <w:rPr>
          <w:rFonts w:cs="Arial"/>
          <w:sz w:val="20"/>
          <w:szCs w:val="20"/>
        </w:rPr>
        <w:t>er</w:t>
      </w:r>
      <w:r>
        <w:rPr>
          <w:rFonts w:cs="Arial"/>
          <w:sz w:val="20"/>
          <w:szCs w:val="20"/>
        </w:rPr>
        <w:t>ogar</w:t>
      </w:r>
      <w:r w:rsidRPr="00EF7EA0">
        <w:rPr>
          <w:rFonts w:cs="Arial"/>
          <w:sz w:val="20"/>
          <w:szCs w:val="20"/>
        </w:rPr>
        <w:t xml:space="preserve"> los artículos 3, 5 y 6 del Decreto Supremo Nº  001-2015-EM, que aprobó disposiciones para procedimientos mineros que impulsen proyectos de inversión y la segunda disposición complementaria final del Decreto Supremo N° 028-2015-EM, que estableció precisiones al procedimiento de concesión de beneficio regulado en el Reglamento de Procedimientos Mineros, modificado por Decreto Supremo Nº 001-2015-EM.</w:t>
      </w:r>
    </w:p>
    <w:p w:rsidR="00326584" w:rsidRPr="00326584" w:rsidRDefault="00326584" w:rsidP="005D6F4B">
      <w:pPr>
        <w:widowControl w:val="0"/>
        <w:autoSpaceDE w:val="0"/>
        <w:autoSpaceDN w:val="0"/>
        <w:adjustRightInd w:val="0"/>
        <w:spacing w:after="0" w:line="280" w:lineRule="exact"/>
        <w:jc w:val="both"/>
        <w:rPr>
          <w:rFonts w:cs="Calibri"/>
          <w:sz w:val="20"/>
          <w:szCs w:val="20"/>
        </w:rPr>
      </w:pPr>
    </w:p>
    <w:p w:rsidR="00705CF3" w:rsidRPr="00C85B3F" w:rsidRDefault="00705CF3" w:rsidP="005D6F4B">
      <w:pPr>
        <w:pStyle w:val="Prrafodelista"/>
        <w:numPr>
          <w:ilvl w:val="0"/>
          <w:numId w:val="1"/>
        </w:numPr>
        <w:tabs>
          <w:tab w:val="left" w:pos="426"/>
        </w:tabs>
        <w:spacing w:after="0" w:line="280" w:lineRule="exact"/>
        <w:ind w:hanging="765"/>
        <w:jc w:val="both"/>
        <w:rPr>
          <w:b/>
          <w:sz w:val="20"/>
          <w:szCs w:val="20"/>
        </w:rPr>
      </w:pPr>
      <w:r w:rsidRPr="00C85B3F">
        <w:rPr>
          <w:b/>
          <w:sz w:val="20"/>
          <w:szCs w:val="20"/>
          <w:u w:val="single"/>
        </w:rPr>
        <w:t>JUSTIFICACIÓN</w:t>
      </w:r>
      <w:r w:rsidRPr="00C85B3F">
        <w:rPr>
          <w:b/>
          <w:sz w:val="20"/>
          <w:szCs w:val="20"/>
        </w:rPr>
        <w:t>:</w:t>
      </w:r>
    </w:p>
    <w:p w:rsidR="00705CF3" w:rsidRPr="00A8778D" w:rsidRDefault="00705CF3" w:rsidP="005D6F4B">
      <w:pPr>
        <w:widowControl w:val="0"/>
        <w:autoSpaceDE w:val="0"/>
        <w:autoSpaceDN w:val="0"/>
        <w:adjustRightInd w:val="0"/>
        <w:spacing w:after="0" w:line="280" w:lineRule="exact"/>
        <w:jc w:val="both"/>
        <w:rPr>
          <w:rFonts w:cs="Arial"/>
          <w:sz w:val="20"/>
          <w:szCs w:val="20"/>
          <w:shd w:val="clear" w:color="auto" w:fill="FFFFFF"/>
        </w:rPr>
      </w:pPr>
    </w:p>
    <w:p w:rsidR="00DE507C" w:rsidRDefault="00705CF3" w:rsidP="005D6F4B">
      <w:pPr>
        <w:pStyle w:val="Prrafodelista"/>
        <w:widowControl w:val="0"/>
        <w:numPr>
          <w:ilvl w:val="1"/>
          <w:numId w:val="1"/>
        </w:numPr>
        <w:autoSpaceDE w:val="0"/>
        <w:autoSpaceDN w:val="0"/>
        <w:adjustRightInd w:val="0"/>
        <w:spacing w:after="0" w:line="280" w:lineRule="exact"/>
        <w:ind w:left="426" w:hanging="426"/>
        <w:jc w:val="both"/>
        <w:rPr>
          <w:rFonts w:cs="Arial"/>
          <w:sz w:val="20"/>
          <w:szCs w:val="20"/>
        </w:rPr>
      </w:pPr>
      <w:r w:rsidRPr="00DE507C">
        <w:rPr>
          <w:sz w:val="20"/>
          <w:szCs w:val="20"/>
        </w:rPr>
        <w:t xml:space="preserve">Es el caso, que </w:t>
      </w:r>
      <w:r w:rsidRPr="00DE507C">
        <w:rPr>
          <w:rFonts w:cs="Arial"/>
          <w:sz w:val="20"/>
          <w:szCs w:val="20"/>
        </w:rPr>
        <w:t>con la finalidad de simplificar los procedimientos administrativos de concesión de Beneficio, autorización para el inicio de exploración y de autorización para el inicio y/o reinicio de las actividades de desarrollo, preparación y explotación, que incluye el plan de minado y botaderos y modificaciones</w:t>
      </w:r>
      <w:r w:rsidR="00900668" w:rsidRPr="00DE507C">
        <w:rPr>
          <w:rFonts w:cs="Arial"/>
          <w:sz w:val="20"/>
          <w:szCs w:val="20"/>
        </w:rPr>
        <w:t>;</w:t>
      </w:r>
      <w:r w:rsidR="009E08FC">
        <w:rPr>
          <w:rFonts w:cs="Arial"/>
          <w:sz w:val="20"/>
          <w:szCs w:val="20"/>
        </w:rPr>
        <w:t xml:space="preserve"> </w:t>
      </w:r>
      <w:r w:rsidRPr="00DE507C">
        <w:rPr>
          <w:rFonts w:cs="Arial"/>
          <w:sz w:val="20"/>
          <w:szCs w:val="20"/>
        </w:rPr>
        <w:t xml:space="preserve"> es</w:t>
      </w:r>
      <w:r w:rsidR="009E08FC">
        <w:rPr>
          <w:rFonts w:cs="Arial"/>
          <w:sz w:val="20"/>
          <w:szCs w:val="20"/>
        </w:rPr>
        <w:t xml:space="preserve"> </w:t>
      </w:r>
      <w:r w:rsidRPr="00DE507C">
        <w:rPr>
          <w:rFonts w:cs="Arial"/>
          <w:sz w:val="20"/>
          <w:szCs w:val="20"/>
        </w:rPr>
        <w:t>necesario adecuarlos a</w:t>
      </w:r>
      <w:r w:rsidR="00EB4062" w:rsidRPr="00DE507C">
        <w:rPr>
          <w:rFonts w:cs="Arial"/>
          <w:sz w:val="20"/>
          <w:szCs w:val="20"/>
        </w:rPr>
        <w:t xml:space="preserve"> </w:t>
      </w:r>
      <w:r w:rsidRPr="00DE507C">
        <w:rPr>
          <w:rFonts w:cs="Arial"/>
          <w:sz w:val="20"/>
          <w:szCs w:val="20"/>
        </w:rPr>
        <w:t>l</w:t>
      </w:r>
      <w:r w:rsidR="00EB4062" w:rsidRPr="00DE507C">
        <w:rPr>
          <w:rFonts w:cs="Arial"/>
          <w:sz w:val="20"/>
          <w:szCs w:val="20"/>
        </w:rPr>
        <w:t>os</w:t>
      </w:r>
      <w:r w:rsidRPr="00DE507C">
        <w:rPr>
          <w:rFonts w:cs="Arial"/>
          <w:sz w:val="20"/>
          <w:szCs w:val="20"/>
        </w:rPr>
        <w:t xml:space="preserve"> principio</w:t>
      </w:r>
      <w:r w:rsidR="00EB4062" w:rsidRPr="00DE507C">
        <w:rPr>
          <w:rFonts w:cs="Arial"/>
          <w:sz w:val="20"/>
          <w:szCs w:val="20"/>
        </w:rPr>
        <w:t>s</w:t>
      </w:r>
      <w:r w:rsidRPr="00DE507C">
        <w:rPr>
          <w:rFonts w:cs="Arial"/>
          <w:sz w:val="20"/>
          <w:szCs w:val="20"/>
        </w:rPr>
        <w:t xml:space="preserve"> </w:t>
      </w:r>
      <w:r w:rsidR="00EB4062" w:rsidRPr="00DE507C">
        <w:rPr>
          <w:rFonts w:cs="Arial"/>
          <w:sz w:val="20"/>
          <w:szCs w:val="20"/>
        </w:rPr>
        <w:t>mencionados</w:t>
      </w:r>
      <w:r w:rsidR="009E08FC">
        <w:rPr>
          <w:rFonts w:cs="Arial"/>
          <w:sz w:val="20"/>
          <w:szCs w:val="20"/>
        </w:rPr>
        <w:t xml:space="preserve"> en el numeral 1.4 de la presente exposición de motivos</w:t>
      </w:r>
      <w:r w:rsidRPr="00DE507C">
        <w:rPr>
          <w:rFonts w:cs="Arial"/>
          <w:sz w:val="20"/>
          <w:szCs w:val="20"/>
        </w:rPr>
        <w:t xml:space="preserve">, por lo que resulta necesario modificar algunas disposiciones del Reglamento de Procedimientos Mineros, aprobado por Decreto Supremo N° 018-92-EM y modificado por el </w:t>
      </w:r>
      <w:r w:rsidRPr="00DE507C">
        <w:rPr>
          <w:sz w:val="20"/>
          <w:szCs w:val="20"/>
        </w:rPr>
        <w:t>Decreto Supremo N° 020-2012</w:t>
      </w:r>
      <w:r w:rsidR="00900668" w:rsidRPr="00DE507C">
        <w:rPr>
          <w:sz w:val="20"/>
          <w:szCs w:val="20"/>
        </w:rPr>
        <w:t xml:space="preserve">, así como incluir un artículo en el reglamento. </w:t>
      </w:r>
      <w:r w:rsidRPr="00DE507C">
        <w:rPr>
          <w:rFonts w:cs="Arial"/>
          <w:sz w:val="20"/>
          <w:szCs w:val="20"/>
        </w:rPr>
        <w:t xml:space="preserve"> </w:t>
      </w:r>
    </w:p>
    <w:p w:rsidR="00DE507C" w:rsidRDefault="00DE507C" w:rsidP="005D6F4B">
      <w:pPr>
        <w:pStyle w:val="Prrafodelista"/>
        <w:widowControl w:val="0"/>
        <w:autoSpaceDE w:val="0"/>
        <w:autoSpaceDN w:val="0"/>
        <w:adjustRightInd w:val="0"/>
        <w:spacing w:after="0" w:line="280" w:lineRule="exact"/>
        <w:ind w:left="426"/>
        <w:jc w:val="both"/>
        <w:rPr>
          <w:rFonts w:cs="Arial"/>
          <w:sz w:val="20"/>
          <w:szCs w:val="20"/>
        </w:rPr>
      </w:pPr>
    </w:p>
    <w:p w:rsidR="00EF7EA0" w:rsidRDefault="00295846" w:rsidP="00EF7EA0">
      <w:pPr>
        <w:pStyle w:val="Prrafodelista"/>
        <w:widowControl w:val="0"/>
        <w:numPr>
          <w:ilvl w:val="1"/>
          <w:numId w:val="1"/>
        </w:numPr>
        <w:autoSpaceDE w:val="0"/>
        <w:autoSpaceDN w:val="0"/>
        <w:adjustRightInd w:val="0"/>
        <w:spacing w:after="0" w:line="280" w:lineRule="exact"/>
        <w:ind w:left="426" w:hanging="426"/>
        <w:jc w:val="both"/>
        <w:rPr>
          <w:rFonts w:cs="Arial"/>
          <w:sz w:val="20"/>
          <w:szCs w:val="20"/>
        </w:rPr>
      </w:pPr>
      <w:r w:rsidRPr="00DE507C">
        <w:rPr>
          <w:sz w:val="20"/>
          <w:szCs w:val="20"/>
        </w:rPr>
        <w:t xml:space="preserve">En tal sentido, estando a lo señalado en el párrafo precedente, en aras de contar con una gestión pública eficiente y efectiva, y con la finalidad de dotar de dinamismo </w:t>
      </w:r>
      <w:r w:rsidR="00900668" w:rsidRPr="00DE507C">
        <w:rPr>
          <w:sz w:val="20"/>
          <w:szCs w:val="20"/>
        </w:rPr>
        <w:t xml:space="preserve">a los </w:t>
      </w:r>
      <w:r w:rsidRPr="00DE507C">
        <w:rPr>
          <w:sz w:val="20"/>
          <w:szCs w:val="20"/>
        </w:rPr>
        <w:t>procedimientos administrativos destinados</w:t>
      </w:r>
      <w:r w:rsidR="00900668" w:rsidRPr="00DE507C">
        <w:rPr>
          <w:sz w:val="20"/>
          <w:szCs w:val="20"/>
        </w:rPr>
        <w:t xml:space="preserve"> a evaluar los requisitos presentados por los administrados en los</w:t>
      </w:r>
      <w:r w:rsidRPr="00DE507C">
        <w:rPr>
          <w:rFonts w:cs="Arial"/>
          <w:sz w:val="20"/>
          <w:szCs w:val="20"/>
        </w:rPr>
        <w:t xml:space="preserve"> </w:t>
      </w:r>
      <w:r w:rsidRPr="00DE507C">
        <w:rPr>
          <w:rFonts w:cs="Arial"/>
          <w:sz w:val="20"/>
          <w:szCs w:val="20"/>
        </w:rPr>
        <w:lastRenderedPageBreak/>
        <w:t xml:space="preserve">procedimientos </w:t>
      </w:r>
      <w:r w:rsidR="00900668" w:rsidRPr="00DE507C">
        <w:rPr>
          <w:rFonts w:cs="Arial"/>
          <w:sz w:val="20"/>
          <w:szCs w:val="20"/>
        </w:rPr>
        <w:t xml:space="preserve">autoritativos </w:t>
      </w:r>
      <w:r w:rsidRPr="00DE507C">
        <w:rPr>
          <w:rFonts w:cs="Arial"/>
          <w:sz w:val="20"/>
          <w:szCs w:val="20"/>
        </w:rPr>
        <w:t>de Concesión de Beneficio,  Autorización para el Inicio de Exploración y de Autorización para el Inicio o Reinicio de las Actividades de Desarrollo, Preparación y Explotación, que incluye el Plan de Minado y Botaderos y Modificaciones</w:t>
      </w:r>
      <w:r w:rsidR="00067A66">
        <w:rPr>
          <w:rFonts w:cs="Arial"/>
          <w:sz w:val="20"/>
          <w:szCs w:val="20"/>
        </w:rPr>
        <w:t>;</w:t>
      </w:r>
      <w:r w:rsidR="00900668" w:rsidRPr="00DE507C">
        <w:rPr>
          <w:rFonts w:cs="Arial"/>
          <w:sz w:val="20"/>
          <w:szCs w:val="20"/>
        </w:rPr>
        <w:t xml:space="preserve"> el presente decreto</w:t>
      </w:r>
      <w:r w:rsidR="00067A66">
        <w:rPr>
          <w:rFonts w:cs="Arial"/>
          <w:sz w:val="20"/>
          <w:szCs w:val="20"/>
        </w:rPr>
        <w:t xml:space="preserve"> supremo ha sido estructurado de una manera más ordenada, unificando los requisitos a solicitarse por cada procedimiento, y acortando los plazos en beneficio de los administrados</w:t>
      </w:r>
      <w:r w:rsidR="00900668" w:rsidRPr="00DE507C">
        <w:rPr>
          <w:rFonts w:cs="Arial"/>
          <w:sz w:val="20"/>
          <w:szCs w:val="20"/>
        </w:rPr>
        <w:t>.</w:t>
      </w:r>
    </w:p>
    <w:p w:rsidR="00EF7EA0" w:rsidRPr="00EF7EA0" w:rsidRDefault="00EF7EA0" w:rsidP="00EF7EA0">
      <w:pPr>
        <w:pStyle w:val="Prrafodelista"/>
        <w:rPr>
          <w:rFonts w:ascii="Arial" w:hAnsi="Arial" w:cs="Arial"/>
          <w:sz w:val="20"/>
          <w:szCs w:val="20"/>
        </w:rPr>
      </w:pPr>
    </w:p>
    <w:p w:rsidR="00EF7EA0" w:rsidRPr="00EF7EA0" w:rsidRDefault="00EF7EA0" w:rsidP="00EF7EA0">
      <w:pPr>
        <w:pStyle w:val="Prrafodelista"/>
        <w:widowControl w:val="0"/>
        <w:numPr>
          <w:ilvl w:val="1"/>
          <w:numId w:val="1"/>
        </w:numPr>
        <w:autoSpaceDE w:val="0"/>
        <w:autoSpaceDN w:val="0"/>
        <w:adjustRightInd w:val="0"/>
        <w:spacing w:after="0" w:line="280" w:lineRule="exact"/>
        <w:ind w:left="426" w:hanging="426"/>
        <w:jc w:val="both"/>
        <w:rPr>
          <w:rFonts w:cs="Arial"/>
          <w:sz w:val="20"/>
          <w:szCs w:val="20"/>
        </w:rPr>
      </w:pPr>
      <w:r w:rsidRPr="00EF7EA0">
        <w:rPr>
          <w:rFonts w:cs="Arial"/>
          <w:sz w:val="20"/>
          <w:szCs w:val="20"/>
        </w:rPr>
        <w:t>Asimismo, el pr</w:t>
      </w:r>
      <w:r>
        <w:rPr>
          <w:rFonts w:cs="Arial"/>
          <w:sz w:val="20"/>
          <w:szCs w:val="20"/>
        </w:rPr>
        <w:t>e</w:t>
      </w:r>
      <w:r w:rsidRPr="00EF7EA0">
        <w:rPr>
          <w:rFonts w:cs="Arial"/>
          <w:sz w:val="20"/>
          <w:szCs w:val="20"/>
        </w:rPr>
        <w:t>sente proyecto de decreto supremo tiene por finalidad la</w:t>
      </w:r>
      <w:r w:rsidRPr="00EF7EA0">
        <w:rPr>
          <w:rFonts w:cs="Arial"/>
          <w:sz w:val="20"/>
          <w:szCs w:val="20"/>
        </w:rPr>
        <w:t xml:space="preserve"> promo</w:t>
      </w:r>
      <w:r w:rsidRPr="00EF7EA0">
        <w:rPr>
          <w:rFonts w:cs="Arial"/>
          <w:sz w:val="20"/>
          <w:szCs w:val="20"/>
        </w:rPr>
        <w:t>ción y agilización de</w:t>
      </w:r>
      <w:r w:rsidRPr="00EF7EA0">
        <w:rPr>
          <w:rFonts w:cs="Arial"/>
          <w:sz w:val="20"/>
          <w:szCs w:val="20"/>
        </w:rPr>
        <w:t xml:space="preserve"> las inversiones en el </w:t>
      </w:r>
      <w:r>
        <w:rPr>
          <w:rFonts w:cs="Arial"/>
          <w:sz w:val="20"/>
          <w:szCs w:val="20"/>
        </w:rPr>
        <w:t>sub</w:t>
      </w:r>
      <w:r w:rsidRPr="00EF7EA0">
        <w:rPr>
          <w:rFonts w:cs="Arial"/>
          <w:sz w:val="20"/>
          <w:szCs w:val="20"/>
        </w:rPr>
        <w:t xml:space="preserve">sector minero </w:t>
      </w:r>
      <w:r>
        <w:rPr>
          <w:rFonts w:cs="Arial"/>
          <w:sz w:val="20"/>
          <w:szCs w:val="20"/>
        </w:rPr>
        <w:t>lo que redunda en el desarrollo económico de nuestro país.</w:t>
      </w:r>
    </w:p>
    <w:p w:rsidR="00900668" w:rsidRPr="00A8778D" w:rsidRDefault="00900668" w:rsidP="005D6F4B">
      <w:pPr>
        <w:widowControl w:val="0"/>
        <w:autoSpaceDE w:val="0"/>
        <w:autoSpaceDN w:val="0"/>
        <w:adjustRightInd w:val="0"/>
        <w:spacing w:after="0" w:line="280" w:lineRule="exact"/>
        <w:jc w:val="both"/>
        <w:rPr>
          <w:rFonts w:cs="Arial"/>
          <w:sz w:val="20"/>
          <w:szCs w:val="20"/>
        </w:rPr>
      </w:pPr>
    </w:p>
    <w:p w:rsidR="00CD6391" w:rsidRPr="00A8778D" w:rsidRDefault="001A082F" w:rsidP="005D6F4B">
      <w:pPr>
        <w:pStyle w:val="Prrafodelista"/>
        <w:widowControl w:val="0"/>
        <w:numPr>
          <w:ilvl w:val="0"/>
          <w:numId w:val="1"/>
        </w:numPr>
        <w:autoSpaceDE w:val="0"/>
        <w:autoSpaceDN w:val="0"/>
        <w:adjustRightInd w:val="0"/>
        <w:spacing w:after="0" w:line="280" w:lineRule="exact"/>
        <w:ind w:left="426" w:hanging="426"/>
        <w:jc w:val="both"/>
        <w:rPr>
          <w:b/>
          <w:sz w:val="20"/>
          <w:szCs w:val="20"/>
        </w:rPr>
      </w:pPr>
      <w:r w:rsidRPr="00A8778D">
        <w:rPr>
          <w:b/>
          <w:sz w:val="20"/>
          <w:szCs w:val="20"/>
          <w:u w:val="single"/>
        </w:rPr>
        <w:t>ANÁLISIS COSTO BENEFICIO</w:t>
      </w:r>
    </w:p>
    <w:p w:rsidR="001A082F" w:rsidRPr="00A8778D" w:rsidRDefault="001A082F" w:rsidP="005D6F4B">
      <w:pPr>
        <w:pStyle w:val="Prrafodelista"/>
        <w:widowControl w:val="0"/>
        <w:autoSpaceDE w:val="0"/>
        <w:autoSpaceDN w:val="0"/>
        <w:adjustRightInd w:val="0"/>
        <w:spacing w:after="0" w:line="280" w:lineRule="exact"/>
        <w:ind w:left="765"/>
        <w:jc w:val="both"/>
        <w:rPr>
          <w:sz w:val="20"/>
          <w:szCs w:val="20"/>
        </w:rPr>
      </w:pPr>
      <w:r w:rsidRPr="00A8778D">
        <w:rPr>
          <w:sz w:val="20"/>
          <w:szCs w:val="20"/>
        </w:rPr>
        <w:t xml:space="preserve"> </w:t>
      </w:r>
    </w:p>
    <w:p w:rsidR="00A8778D" w:rsidRPr="00DE507C" w:rsidRDefault="001A082F" w:rsidP="005D6F4B">
      <w:pPr>
        <w:pStyle w:val="Prrafodelista"/>
        <w:widowControl w:val="0"/>
        <w:numPr>
          <w:ilvl w:val="1"/>
          <w:numId w:val="1"/>
        </w:numPr>
        <w:autoSpaceDE w:val="0"/>
        <w:autoSpaceDN w:val="0"/>
        <w:adjustRightInd w:val="0"/>
        <w:spacing w:after="0" w:line="280" w:lineRule="exact"/>
        <w:ind w:left="426" w:hanging="426"/>
        <w:jc w:val="both"/>
        <w:rPr>
          <w:rFonts w:cs="Arial"/>
          <w:sz w:val="20"/>
          <w:szCs w:val="20"/>
          <w:shd w:val="clear" w:color="auto" w:fill="FFFFFF"/>
        </w:rPr>
      </w:pPr>
      <w:r w:rsidRPr="00DE507C">
        <w:rPr>
          <w:sz w:val="20"/>
          <w:szCs w:val="20"/>
        </w:rPr>
        <w:t xml:space="preserve">La propuesta </w:t>
      </w:r>
      <w:r w:rsidR="00FE0856">
        <w:rPr>
          <w:sz w:val="20"/>
          <w:szCs w:val="20"/>
        </w:rPr>
        <w:t xml:space="preserve">de </w:t>
      </w:r>
      <w:r w:rsidRPr="00DE507C">
        <w:rPr>
          <w:sz w:val="20"/>
          <w:szCs w:val="20"/>
        </w:rPr>
        <w:t xml:space="preserve">norma no irrogará gasto alguno para </w:t>
      </w:r>
      <w:r w:rsidR="00CD6391" w:rsidRPr="00DE507C">
        <w:rPr>
          <w:sz w:val="20"/>
          <w:szCs w:val="20"/>
        </w:rPr>
        <w:t xml:space="preserve">el </w:t>
      </w:r>
      <w:r w:rsidRPr="00DE507C">
        <w:rPr>
          <w:sz w:val="20"/>
          <w:szCs w:val="20"/>
        </w:rPr>
        <w:t>erario nacional. Asimismo, entre los beneficios que generará su ap</w:t>
      </w:r>
      <w:r w:rsidR="00CD6391" w:rsidRPr="00DE507C">
        <w:rPr>
          <w:sz w:val="20"/>
          <w:szCs w:val="20"/>
        </w:rPr>
        <w:t xml:space="preserve">robación se pueden considerar los de </w:t>
      </w:r>
      <w:r w:rsidR="00CD6391" w:rsidRPr="00DE507C">
        <w:rPr>
          <w:rFonts w:cs="Arial"/>
          <w:sz w:val="20"/>
          <w:szCs w:val="20"/>
        </w:rPr>
        <w:t>simplificación de</w:t>
      </w:r>
      <w:r w:rsidR="00A8778D" w:rsidRPr="00DE507C">
        <w:rPr>
          <w:rFonts w:cs="Arial"/>
          <w:sz w:val="20"/>
          <w:szCs w:val="20"/>
        </w:rPr>
        <w:t xml:space="preserve"> trámites y </w:t>
      </w:r>
      <w:r w:rsidR="00CD6391" w:rsidRPr="00DE507C">
        <w:rPr>
          <w:rFonts w:cs="Arial"/>
          <w:sz w:val="20"/>
          <w:szCs w:val="20"/>
        </w:rPr>
        <w:t xml:space="preserve"> procedimientos administrativos, una gestión pública más eficiente que se traducirá en un</w:t>
      </w:r>
      <w:r w:rsidR="00A8778D" w:rsidRPr="00DE507C">
        <w:rPr>
          <w:rFonts w:cs="Arial"/>
          <w:sz w:val="20"/>
          <w:szCs w:val="20"/>
        </w:rPr>
        <w:t>a mejora sustancial en el plazo de</w:t>
      </w:r>
      <w:r w:rsidR="00CD6391" w:rsidRPr="00DE507C">
        <w:rPr>
          <w:rFonts w:cs="Arial"/>
          <w:sz w:val="20"/>
          <w:szCs w:val="20"/>
        </w:rPr>
        <w:t xml:space="preserve"> atención de los procedimientos</w:t>
      </w:r>
      <w:r w:rsidR="00A8778D" w:rsidRPr="00DE507C">
        <w:rPr>
          <w:rFonts w:cs="Arial"/>
          <w:sz w:val="20"/>
          <w:szCs w:val="20"/>
        </w:rPr>
        <w:t xml:space="preserve"> mineros, así como  un incremento en la inversión privada</w:t>
      </w:r>
      <w:r w:rsidR="00067A66">
        <w:rPr>
          <w:rFonts w:cs="Arial"/>
          <w:sz w:val="20"/>
          <w:szCs w:val="20"/>
        </w:rPr>
        <w:t>,</w:t>
      </w:r>
      <w:r w:rsidR="00A8778D" w:rsidRPr="00DE507C">
        <w:rPr>
          <w:rFonts w:cs="Arial"/>
          <w:sz w:val="20"/>
          <w:szCs w:val="20"/>
        </w:rPr>
        <w:t xml:space="preserve"> cuyo efecto inmediato será el de</w:t>
      </w:r>
      <w:r w:rsidR="00A8778D" w:rsidRPr="00DE507C">
        <w:rPr>
          <w:rFonts w:cs="Arial"/>
          <w:sz w:val="20"/>
          <w:szCs w:val="20"/>
          <w:shd w:val="clear" w:color="auto" w:fill="FFFFFF"/>
        </w:rPr>
        <w:t xml:space="preserve"> posicionar al país como destino de inversión para la exploración y explotación de sus recursos.</w:t>
      </w:r>
    </w:p>
    <w:p w:rsidR="00A8778D" w:rsidRPr="00A8778D" w:rsidRDefault="00A8778D" w:rsidP="005D6F4B">
      <w:pPr>
        <w:widowControl w:val="0"/>
        <w:autoSpaceDE w:val="0"/>
        <w:autoSpaceDN w:val="0"/>
        <w:adjustRightInd w:val="0"/>
        <w:spacing w:after="0" w:line="280" w:lineRule="exact"/>
        <w:jc w:val="both"/>
        <w:rPr>
          <w:sz w:val="20"/>
          <w:szCs w:val="20"/>
        </w:rPr>
      </w:pPr>
    </w:p>
    <w:p w:rsidR="00CD6391" w:rsidRPr="00A8778D" w:rsidRDefault="004D2B25" w:rsidP="005D6F4B">
      <w:pPr>
        <w:pStyle w:val="Prrafodelista"/>
        <w:widowControl w:val="0"/>
        <w:numPr>
          <w:ilvl w:val="0"/>
          <w:numId w:val="1"/>
        </w:numPr>
        <w:tabs>
          <w:tab w:val="left" w:pos="426"/>
        </w:tabs>
        <w:autoSpaceDE w:val="0"/>
        <w:autoSpaceDN w:val="0"/>
        <w:adjustRightInd w:val="0"/>
        <w:spacing w:after="0" w:line="280" w:lineRule="exact"/>
        <w:ind w:left="426" w:hanging="426"/>
        <w:jc w:val="both"/>
        <w:rPr>
          <w:b/>
          <w:sz w:val="20"/>
          <w:szCs w:val="20"/>
          <w:u w:val="single"/>
        </w:rPr>
      </w:pPr>
      <w:r w:rsidRPr="00A8778D">
        <w:rPr>
          <w:b/>
          <w:sz w:val="20"/>
          <w:szCs w:val="20"/>
          <w:u w:val="single"/>
        </w:rPr>
        <w:t xml:space="preserve">ANÁLISIS DEL IMPACTO DE LA VIGENCIA DE LA </w:t>
      </w:r>
      <w:r w:rsidR="00FE0856">
        <w:rPr>
          <w:b/>
          <w:sz w:val="20"/>
          <w:szCs w:val="20"/>
          <w:u w:val="single"/>
        </w:rPr>
        <w:t xml:space="preserve">PROPUESTA DE </w:t>
      </w:r>
      <w:r w:rsidRPr="00A8778D">
        <w:rPr>
          <w:b/>
          <w:sz w:val="20"/>
          <w:szCs w:val="20"/>
          <w:u w:val="single"/>
        </w:rPr>
        <w:t>NORMA EN LA LEGISLACIÓN NACIONAL</w:t>
      </w:r>
    </w:p>
    <w:p w:rsidR="00CD6391" w:rsidRPr="00A8778D" w:rsidRDefault="00CD6391" w:rsidP="005D6F4B">
      <w:pPr>
        <w:widowControl w:val="0"/>
        <w:autoSpaceDE w:val="0"/>
        <w:autoSpaceDN w:val="0"/>
        <w:adjustRightInd w:val="0"/>
        <w:spacing w:after="0" w:line="280" w:lineRule="exact"/>
        <w:jc w:val="both"/>
        <w:rPr>
          <w:sz w:val="20"/>
          <w:szCs w:val="20"/>
        </w:rPr>
      </w:pPr>
    </w:p>
    <w:p w:rsidR="0001018D" w:rsidRPr="00827B24" w:rsidRDefault="006C4091" w:rsidP="005D6F4B">
      <w:pPr>
        <w:pStyle w:val="Textoindependiente22"/>
        <w:numPr>
          <w:ilvl w:val="1"/>
          <w:numId w:val="1"/>
        </w:numPr>
        <w:spacing w:line="280" w:lineRule="exact"/>
        <w:ind w:left="426" w:hanging="426"/>
        <w:rPr>
          <w:rFonts w:asciiTheme="minorHAnsi" w:hAnsiTheme="minorHAnsi"/>
          <w:sz w:val="20"/>
          <w:szCs w:val="20"/>
        </w:rPr>
      </w:pPr>
      <w:r>
        <w:rPr>
          <w:rFonts w:ascii="Calibri" w:hAnsi="Calibri"/>
          <w:sz w:val="20"/>
          <w:szCs w:val="20"/>
        </w:rPr>
        <w:t xml:space="preserve">El </w:t>
      </w:r>
      <w:r w:rsidR="0001018D" w:rsidRPr="0001018D">
        <w:rPr>
          <w:rFonts w:ascii="Calibri" w:hAnsi="Calibri"/>
          <w:sz w:val="20"/>
          <w:szCs w:val="20"/>
        </w:rPr>
        <w:t xml:space="preserve">presente </w:t>
      </w:r>
      <w:r>
        <w:rPr>
          <w:rFonts w:ascii="Calibri" w:hAnsi="Calibri"/>
          <w:sz w:val="20"/>
          <w:szCs w:val="20"/>
        </w:rPr>
        <w:t xml:space="preserve">proyecto de norma </w:t>
      </w:r>
      <w:r w:rsidR="0001018D" w:rsidRPr="0001018D">
        <w:rPr>
          <w:rFonts w:ascii="Calibri" w:hAnsi="Calibri"/>
          <w:sz w:val="20"/>
          <w:szCs w:val="20"/>
        </w:rPr>
        <w:t xml:space="preserve">modifica los artículos </w:t>
      </w:r>
      <w:r w:rsidR="0001018D" w:rsidRPr="00827B24">
        <w:rPr>
          <w:rFonts w:asciiTheme="minorHAnsi" w:eastAsia="Calibri" w:hAnsiTheme="minorHAnsi" w:cs="Calibri"/>
          <w:sz w:val="20"/>
          <w:szCs w:val="20"/>
          <w:lang w:eastAsia="en-US"/>
        </w:rPr>
        <w:t>35, 36, 37, 38 y 75, así como incluye el artículo 76 del Reglamento de Procedimientos Mineros, aprobado por Decreto Supremo N° 018-92-EM.</w:t>
      </w:r>
    </w:p>
    <w:p w:rsidR="0001018D" w:rsidRPr="00827B24" w:rsidRDefault="0001018D" w:rsidP="005D6F4B">
      <w:pPr>
        <w:pStyle w:val="Textoindependiente22"/>
        <w:spacing w:line="280" w:lineRule="exact"/>
        <w:ind w:left="426"/>
        <w:rPr>
          <w:rFonts w:asciiTheme="minorHAnsi" w:hAnsiTheme="minorHAnsi"/>
          <w:sz w:val="20"/>
          <w:szCs w:val="20"/>
        </w:rPr>
      </w:pPr>
    </w:p>
    <w:p w:rsidR="00ED1A20" w:rsidRPr="00ED1A20" w:rsidRDefault="0001018D" w:rsidP="00ED1A20">
      <w:pPr>
        <w:pStyle w:val="Textoindependiente22"/>
        <w:numPr>
          <w:ilvl w:val="1"/>
          <w:numId w:val="1"/>
        </w:numPr>
        <w:spacing w:line="280" w:lineRule="exact"/>
        <w:ind w:left="426" w:hanging="426"/>
        <w:rPr>
          <w:rFonts w:ascii="Calibri" w:hAnsi="Calibri"/>
          <w:sz w:val="20"/>
          <w:szCs w:val="20"/>
        </w:rPr>
      </w:pPr>
      <w:r w:rsidRPr="00ED1A20">
        <w:rPr>
          <w:rFonts w:ascii="Calibri" w:hAnsi="Calibri"/>
          <w:sz w:val="20"/>
          <w:szCs w:val="20"/>
        </w:rPr>
        <w:t xml:space="preserve">Asimismo </w:t>
      </w:r>
      <w:r w:rsidR="00ED1A20" w:rsidRPr="00ED1A20">
        <w:rPr>
          <w:rFonts w:ascii="Calibri" w:hAnsi="Calibri"/>
          <w:sz w:val="20"/>
          <w:szCs w:val="20"/>
        </w:rPr>
        <w:t xml:space="preserve">modifica el artículo 2 del Decreto Supremo N° 003-2016-EM, </w:t>
      </w:r>
      <w:r w:rsidR="00ED1A20">
        <w:rPr>
          <w:rFonts w:ascii="Calibri" w:hAnsi="Calibri"/>
          <w:sz w:val="20"/>
          <w:szCs w:val="20"/>
        </w:rPr>
        <w:t>que modificó</w:t>
      </w:r>
      <w:bookmarkStart w:id="0" w:name="_GoBack"/>
      <w:bookmarkEnd w:id="0"/>
      <w:r w:rsidR="00ED1A20" w:rsidRPr="00ED1A20">
        <w:rPr>
          <w:rFonts w:ascii="Calibri" w:hAnsi="Calibri"/>
          <w:sz w:val="20"/>
          <w:szCs w:val="20"/>
        </w:rPr>
        <w:t xml:space="preserve"> diversos artículos del Reglamento de Procedimientos Mineros, aprobado por Decreto Supremo N° 018-92-EM y modifican y actualizan el Texto Único de Procedimientos Administrat</w:t>
      </w:r>
      <w:r w:rsidR="00ED1A20">
        <w:rPr>
          <w:rFonts w:ascii="Calibri" w:hAnsi="Calibri"/>
          <w:sz w:val="20"/>
          <w:szCs w:val="20"/>
        </w:rPr>
        <w:t xml:space="preserve">ivos; </w:t>
      </w:r>
      <w:r w:rsidR="00827B24" w:rsidRPr="00ED1A20">
        <w:rPr>
          <w:rFonts w:ascii="Calibri" w:hAnsi="Calibri"/>
          <w:sz w:val="20"/>
          <w:szCs w:val="20"/>
        </w:rPr>
        <w:t>deroga los artículos 3, 5 y 6 del Decreto supremo N° 001-2015-EM</w:t>
      </w:r>
      <w:r w:rsidR="00ED1A20" w:rsidRPr="00ED1A20">
        <w:rPr>
          <w:rFonts w:ascii="Calibri" w:hAnsi="Calibri"/>
          <w:sz w:val="20"/>
          <w:szCs w:val="20"/>
        </w:rPr>
        <w:t xml:space="preserve"> </w:t>
      </w:r>
      <w:r w:rsidR="00ED1A20" w:rsidRPr="00ED1A20">
        <w:rPr>
          <w:rFonts w:ascii="Calibri" w:hAnsi="Calibri"/>
          <w:sz w:val="20"/>
          <w:szCs w:val="20"/>
        </w:rPr>
        <w:t>que aprobó disposiciones para procedimientos mineros que i</w:t>
      </w:r>
      <w:r w:rsidR="00ED1A20" w:rsidRPr="00ED1A20">
        <w:rPr>
          <w:rFonts w:ascii="Calibri" w:hAnsi="Calibri"/>
          <w:sz w:val="20"/>
          <w:szCs w:val="20"/>
        </w:rPr>
        <w:t>mpulsen proyectos de inversión</w:t>
      </w:r>
      <w:r w:rsidR="00ED1A20" w:rsidRPr="00ED1A20">
        <w:rPr>
          <w:rFonts w:ascii="Calibri" w:hAnsi="Calibri"/>
          <w:sz w:val="20"/>
          <w:szCs w:val="20"/>
        </w:rPr>
        <w:t xml:space="preserve"> </w:t>
      </w:r>
      <w:r w:rsidR="00ED1A20" w:rsidRPr="00ED1A20">
        <w:rPr>
          <w:rFonts w:ascii="Calibri" w:hAnsi="Calibri"/>
          <w:sz w:val="20"/>
          <w:szCs w:val="20"/>
        </w:rPr>
        <w:t>y la segunda disposición com</w:t>
      </w:r>
      <w:r w:rsidR="00ED1A20">
        <w:rPr>
          <w:rFonts w:ascii="Calibri" w:hAnsi="Calibri"/>
          <w:sz w:val="20"/>
          <w:szCs w:val="20"/>
        </w:rPr>
        <w:t>plementaria final del Decreto Su</w:t>
      </w:r>
      <w:r w:rsidR="00ED1A20" w:rsidRPr="00ED1A20">
        <w:rPr>
          <w:rFonts w:ascii="Calibri" w:hAnsi="Calibri"/>
          <w:sz w:val="20"/>
          <w:szCs w:val="20"/>
        </w:rPr>
        <w:t>pr</w:t>
      </w:r>
      <w:r w:rsidR="00ED1A20">
        <w:rPr>
          <w:rFonts w:ascii="Calibri" w:hAnsi="Calibri"/>
          <w:sz w:val="20"/>
          <w:szCs w:val="20"/>
        </w:rPr>
        <w:t>e</w:t>
      </w:r>
      <w:r w:rsidR="00ED1A20" w:rsidRPr="00ED1A20">
        <w:rPr>
          <w:rFonts w:ascii="Calibri" w:hAnsi="Calibri"/>
          <w:sz w:val="20"/>
          <w:szCs w:val="20"/>
        </w:rPr>
        <w:t>mo N° 028-2015EM</w:t>
      </w:r>
      <w:r w:rsidR="00827B24" w:rsidRPr="00ED1A20">
        <w:rPr>
          <w:rFonts w:ascii="Calibri" w:hAnsi="Calibri"/>
          <w:sz w:val="20"/>
          <w:szCs w:val="20"/>
        </w:rPr>
        <w:t xml:space="preserve">, </w:t>
      </w:r>
      <w:r w:rsidR="00ED1A20" w:rsidRPr="00ED1A20">
        <w:rPr>
          <w:rFonts w:ascii="Calibri" w:hAnsi="Calibri"/>
          <w:sz w:val="20"/>
          <w:szCs w:val="20"/>
        </w:rPr>
        <w:t>que estableció precisiones al procedimiento de concesión de beneficio regulado en el Reglamento de Procedimientos Mineros, modificado por Decreto Supremo Nº 001-2015-EM.</w:t>
      </w:r>
    </w:p>
    <w:p w:rsidR="0001018D" w:rsidRPr="00ED1A20" w:rsidRDefault="0001018D" w:rsidP="00ED1A20">
      <w:pPr>
        <w:pStyle w:val="Textoindependiente22"/>
        <w:spacing w:line="280" w:lineRule="exact"/>
        <w:ind w:left="426"/>
        <w:rPr>
          <w:rFonts w:ascii="Calibri" w:hAnsi="Calibri"/>
          <w:sz w:val="20"/>
          <w:szCs w:val="20"/>
        </w:rPr>
      </w:pPr>
    </w:p>
    <w:p w:rsidR="0001018D" w:rsidRPr="00827B24" w:rsidRDefault="0001018D" w:rsidP="0001018D">
      <w:pPr>
        <w:pStyle w:val="Textoindependiente22"/>
        <w:rPr>
          <w:rFonts w:asciiTheme="minorHAnsi" w:hAnsiTheme="minorHAnsi"/>
        </w:rPr>
      </w:pPr>
    </w:p>
    <w:p w:rsidR="0001018D" w:rsidRPr="00827B24" w:rsidRDefault="0001018D" w:rsidP="00923DFF">
      <w:pPr>
        <w:widowControl w:val="0"/>
        <w:autoSpaceDE w:val="0"/>
        <w:autoSpaceDN w:val="0"/>
        <w:adjustRightInd w:val="0"/>
        <w:spacing w:after="0" w:line="280" w:lineRule="exact"/>
        <w:ind w:left="45"/>
        <w:jc w:val="both"/>
        <w:rPr>
          <w:sz w:val="20"/>
          <w:szCs w:val="20"/>
        </w:rPr>
      </w:pPr>
    </w:p>
    <w:sectPr w:rsidR="0001018D" w:rsidRPr="00827B24" w:rsidSect="00277E67">
      <w:footerReference w:type="default" r:id="rId9"/>
      <w:pgSz w:w="11907" w:h="16840" w:code="9"/>
      <w:pgMar w:top="1276" w:right="1701"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09E" w:rsidRDefault="0037609E" w:rsidP="00A1286F">
      <w:pPr>
        <w:spacing w:after="0" w:line="240" w:lineRule="auto"/>
      </w:pPr>
      <w:r>
        <w:separator/>
      </w:r>
    </w:p>
  </w:endnote>
  <w:endnote w:type="continuationSeparator" w:id="0">
    <w:p w:rsidR="0037609E" w:rsidRDefault="0037609E" w:rsidP="00A12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agSans-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859041"/>
      <w:docPartObj>
        <w:docPartGallery w:val="Page Numbers (Bottom of Page)"/>
        <w:docPartUnique/>
      </w:docPartObj>
    </w:sdtPr>
    <w:sdtEndPr/>
    <w:sdtContent>
      <w:p w:rsidR="00A1286F" w:rsidRDefault="00A1286F">
        <w:pPr>
          <w:pStyle w:val="Piedepgina"/>
          <w:jc w:val="right"/>
        </w:pPr>
        <w:r>
          <w:fldChar w:fldCharType="begin"/>
        </w:r>
        <w:r>
          <w:instrText>PAGE   \* MERGEFORMAT</w:instrText>
        </w:r>
        <w:r>
          <w:fldChar w:fldCharType="separate"/>
        </w:r>
        <w:r w:rsidR="00ED1A20" w:rsidRPr="00ED1A20">
          <w:rPr>
            <w:noProof/>
            <w:lang w:val="es-ES"/>
          </w:rPr>
          <w:t>7</w:t>
        </w:r>
        <w:r>
          <w:fldChar w:fldCharType="end"/>
        </w:r>
      </w:p>
    </w:sdtContent>
  </w:sdt>
  <w:p w:rsidR="00A1286F" w:rsidRDefault="00A128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09E" w:rsidRDefault="0037609E" w:rsidP="00A1286F">
      <w:pPr>
        <w:spacing w:after="0" w:line="240" w:lineRule="auto"/>
      </w:pPr>
      <w:r>
        <w:separator/>
      </w:r>
    </w:p>
  </w:footnote>
  <w:footnote w:type="continuationSeparator" w:id="0">
    <w:p w:rsidR="0037609E" w:rsidRDefault="0037609E" w:rsidP="00A128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63D8E"/>
    <w:multiLevelType w:val="hybridMultilevel"/>
    <w:tmpl w:val="475AA3E0"/>
    <w:lvl w:ilvl="0" w:tplc="65C6DAC4">
      <w:start w:val="38"/>
      <w:numFmt w:val="bullet"/>
      <w:lvlText w:val="-"/>
      <w:lvlJc w:val="left"/>
      <w:pPr>
        <w:ind w:left="720" w:hanging="360"/>
      </w:pPr>
      <w:rPr>
        <w:rFonts w:ascii="Times New Roman" w:eastAsia="Times New Roman" w:hAnsi="Times New Roman" w:cs="Times New Roman" w:hint="default"/>
        <w:color w:val="auto"/>
        <w:sz w:val="20"/>
      </w:rPr>
    </w:lvl>
    <w:lvl w:ilvl="1" w:tplc="C4047180">
      <w:start w:val="23"/>
      <w:numFmt w:val="bullet"/>
      <w:lvlText w:val="-"/>
      <w:lvlJc w:val="left"/>
      <w:pPr>
        <w:ind w:left="1440" w:hanging="360"/>
      </w:pPr>
      <w:rPr>
        <w:rFonts w:ascii="Calibri" w:eastAsia="Calibri" w:hAnsi="Calibri" w:cs="Calibri"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14860A7E"/>
    <w:multiLevelType w:val="hybridMultilevel"/>
    <w:tmpl w:val="2D380530"/>
    <w:lvl w:ilvl="0" w:tplc="65C6DAC4">
      <w:start w:val="38"/>
      <w:numFmt w:val="bullet"/>
      <w:lvlText w:val="-"/>
      <w:lvlJc w:val="left"/>
      <w:pPr>
        <w:ind w:left="720" w:hanging="360"/>
      </w:pPr>
      <w:rPr>
        <w:rFonts w:ascii="Times New Roman" w:eastAsia="Times New Roman" w:hAnsi="Times New Roman" w:cs="Times New Roman" w:hint="default"/>
        <w:color w:val="auto"/>
        <w:sz w:val="20"/>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251264B3"/>
    <w:multiLevelType w:val="hybridMultilevel"/>
    <w:tmpl w:val="86C6E6C2"/>
    <w:lvl w:ilvl="0" w:tplc="C8527616">
      <w:start w:val="1"/>
      <w:numFmt w:val="upperRoman"/>
      <w:lvlText w:val="%1."/>
      <w:lvlJc w:val="left"/>
      <w:pPr>
        <w:ind w:left="765" w:hanging="720"/>
      </w:pPr>
      <w:rPr>
        <w:rFonts w:hint="default"/>
        <w:u w:val="none"/>
      </w:rPr>
    </w:lvl>
    <w:lvl w:ilvl="1" w:tplc="280A0019" w:tentative="1">
      <w:start w:val="1"/>
      <w:numFmt w:val="lowerLetter"/>
      <w:lvlText w:val="%2."/>
      <w:lvlJc w:val="left"/>
      <w:pPr>
        <w:ind w:left="1125" w:hanging="360"/>
      </w:pPr>
    </w:lvl>
    <w:lvl w:ilvl="2" w:tplc="280A001B" w:tentative="1">
      <w:start w:val="1"/>
      <w:numFmt w:val="lowerRoman"/>
      <w:lvlText w:val="%3."/>
      <w:lvlJc w:val="right"/>
      <w:pPr>
        <w:ind w:left="1845" w:hanging="180"/>
      </w:pPr>
    </w:lvl>
    <w:lvl w:ilvl="3" w:tplc="280A000F" w:tentative="1">
      <w:start w:val="1"/>
      <w:numFmt w:val="decimal"/>
      <w:lvlText w:val="%4."/>
      <w:lvlJc w:val="left"/>
      <w:pPr>
        <w:ind w:left="2565" w:hanging="360"/>
      </w:pPr>
    </w:lvl>
    <w:lvl w:ilvl="4" w:tplc="280A0019" w:tentative="1">
      <w:start w:val="1"/>
      <w:numFmt w:val="lowerLetter"/>
      <w:lvlText w:val="%5."/>
      <w:lvlJc w:val="left"/>
      <w:pPr>
        <w:ind w:left="3285" w:hanging="360"/>
      </w:pPr>
    </w:lvl>
    <w:lvl w:ilvl="5" w:tplc="280A001B" w:tentative="1">
      <w:start w:val="1"/>
      <w:numFmt w:val="lowerRoman"/>
      <w:lvlText w:val="%6."/>
      <w:lvlJc w:val="right"/>
      <w:pPr>
        <w:ind w:left="4005" w:hanging="180"/>
      </w:pPr>
    </w:lvl>
    <w:lvl w:ilvl="6" w:tplc="280A000F" w:tentative="1">
      <w:start w:val="1"/>
      <w:numFmt w:val="decimal"/>
      <w:lvlText w:val="%7."/>
      <w:lvlJc w:val="left"/>
      <w:pPr>
        <w:ind w:left="4725" w:hanging="360"/>
      </w:pPr>
    </w:lvl>
    <w:lvl w:ilvl="7" w:tplc="280A0019" w:tentative="1">
      <w:start w:val="1"/>
      <w:numFmt w:val="lowerLetter"/>
      <w:lvlText w:val="%8."/>
      <w:lvlJc w:val="left"/>
      <w:pPr>
        <w:ind w:left="5445" w:hanging="360"/>
      </w:pPr>
    </w:lvl>
    <w:lvl w:ilvl="8" w:tplc="280A001B" w:tentative="1">
      <w:start w:val="1"/>
      <w:numFmt w:val="lowerRoman"/>
      <w:lvlText w:val="%9."/>
      <w:lvlJc w:val="right"/>
      <w:pPr>
        <w:ind w:left="6165" w:hanging="180"/>
      </w:pPr>
    </w:lvl>
  </w:abstractNum>
  <w:abstractNum w:abstractNumId="3">
    <w:nsid w:val="3A4930C8"/>
    <w:multiLevelType w:val="hybridMultilevel"/>
    <w:tmpl w:val="6BC01470"/>
    <w:lvl w:ilvl="0" w:tplc="280A0017">
      <w:start w:val="1"/>
      <w:numFmt w:val="lowerLetter"/>
      <w:lvlText w:val="%1)"/>
      <w:lvlJc w:val="left"/>
      <w:pPr>
        <w:ind w:left="862" w:hanging="360"/>
      </w:pPr>
    </w:lvl>
    <w:lvl w:ilvl="1" w:tplc="280A0019" w:tentative="1">
      <w:start w:val="1"/>
      <w:numFmt w:val="lowerLetter"/>
      <w:lvlText w:val="%2."/>
      <w:lvlJc w:val="left"/>
      <w:pPr>
        <w:ind w:left="1582" w:hanging="360"/>
      </w:pPr>
    </w:lvl>
    <w:lvl w:ilvl="2" w:tplc="280A001B" w:tentative="1">
      <w:start w:val="1"/>
      <w:numFmt w:val="lowerRoman"/>
      <w:lvlText w:val="%3."/>
      <w:lvlJc w:val="right"/>
      <w:pPr>
        <w:ind w:left="2302" w:hanging="180"/>
      </w:pPr>
    </w:lvl>
    <w:lvl w:ilvl="3" w:tplc="280A000F" w:tentative="1">
      <w:start w:val="1"/>
      <w:numFmt w:val="decimal"/>
      <w:lvlText w:val="%4."/>
      <w:lvlJc w:val="left"/>
      <w:pPr>
        <w:ind w:left="3022" w:hanging="360"/>
      </w:pPr>
    </w:lvl>
    <w:lvl w:ilvl="4" w:tplc="280A0019" w:tentative="1">
      <w:start w:val="1"/>
      <w:numFmt w:val="lowerLetter"/>
      <w:lvlText w:val="%5."/>
      <w:lvlJc w:val="left"/>
      <w:pPr>
        <w:ind w:left="3742" w:hanging="360"/>
      </w:pPr>
    </w:lvl>
    <w:lvl w:ilvl="5" w:tplc="280A001B" w:tentative="1">
      <w:start w:val="1"/>
      <w:numFmt w:val="lowerRoman"/>
      <w:lvlText w:val="%6."/>
      <w:lvlJc w:val="right"/>
      <w:pPr>
        <w:ind w:left="4462" w:hanging="180"/>
      </w:pPr>
    </w:lvl>
    <w:lvl w:ilvl="6" w:tplc="280A000F" w:tentative="1">
      <w:start w:val="1"/>
      <w:numFmt w:val="decimal"/>
      <w:lvlText w:val="%7."/>
      <w:lvlJc w:val="left"/>
      <w:pPr>
        <w:ind w:left="5182" w:hanging="360"/>
      </w:pPr>
    </w:lvl>
    <w:lvl w:ilvl="7" w:tplc="280A0019" w:tentative="1">
      <w:start w:val="1"/>
      <w:numFmt w:val="lowerLetter"/>
      <w:lvlText w:val="%8."/>
      <w:lvlJc w:val="left"/>
      <w:pPr>
        <w:ind w:left="5902" w:hanging="360"/>
      </w:pPr>
    </w:lvl>
    <w:lvl w:ilvl="8" w:tplc="280A001B" w:tentative="1">
      <w:start w:val="1"/>
      <w:numFmt w:val="lowerRoman"/>
      <w:lvlText w:val="%9."/>
      <w:lvlJc w:val="right"/>
      <w:pPr>
        <w:ind w:left="6622" w:hanging="180"/>
      </w:pPr>
    </w:lvl>
  </w:abstractNum>
  <w:abstractNum w:abstractNumId="4">
    <w:nsid w:val="5CE214EA"/>
    <w:multiLevelType w:val="multilevel"/>
    <w:tmpl w:val="475E75C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
    <w:nsid w:val="664E08B7"/>
    <w:multiLevelType w:val="multilevel"/>
    <w:tmpl w:val="B3568CC0"/>
    <w:lvl w:ilvl="0">
      <w:start w:val="1"/>
      <w:numFmt w:val="decimal"/>
      <w:lvlText w:val="%1."/>
      <w:lvlJc w:val="left"/>
      <w:pPr>
        <w:ind w:left="1080" w:hanging="720"/>
      </w:pPr>
      <w:rPr>
        <w:rFonts w:ascii="Calibri" w:eastAsia="Calibri" w:hAnsi="Calibri" w:cs="Arial"/>
      </w:rPr>
    </w:lvl>
    <w:lvl w:ilvl="1">
      <w:start w:val="1"/>
      <w:numFmt w:val="decimal"/>
      <w:isLgl/>
      <w:lvlText w:val="%1.%2."/>
      <w:lvlJc w:val="left"/>
      <w:pPr>
        <w:ind w:left="1004" w:hanging="720"/>
      </w:pPr>
      <w:rPr>
        <w:rFonts w:hint="default"/>
        <w:b w:val="0"/>
        <w:color w:val="auto"/>
        <w:sz w:val="20"/>
        <w:szCs w:val="2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6">
    <w:nsid w:val="6B4E63D6"/>
    <w:multiLevelType w:val="multilevel"/>
    <w:tmpl w:val="E1229346"/>
    <w:lvl w:ilvl="0">
      <w:start w:val="1"/>
      <w:numFmt w:val="upperRoman"/>
      <w:lvlText w:val="%1."/>
      <w:lvlJc w:val="left"/>
      <w:pPr>
        <w:ind w:left="765" w:hanging="720"/>
      </w:pPr>
      <w:rPr>
        <w:rFonts w:hint="default"/>
        <w:u w:val="none"/>
      </w:rPr>
    </w:lvl>
    <w:lvl w:ilvl="1">
      <w:start w:val="1"/>
      <w:numFmt w:val="decimal"/>
      <w:isLgl/>
      <w:lvlText w:val="%1.%2."/>
      <w:lvlJc w:val="left"/>
      <w:pPr>
        <w:ind w:left="2204" w:hanging="360"/>
      </w:pPr>
      <w:rPr>
        <w:rFonts w:hint="default"/>
        <w:b w:val="0"/>
      </w:rPr>
    </w:lvl>
    <w:lvl w:ilvl="2">
      <w:start w:val="1"/>
      <w:numFmt w:val="decimal"/>
      <w:isLgl/>
      <w:lvlText w:val="%1.%2.%3."/>
      <w:lvlJc w:val="left"/>
      <w:pPr>
        <w:ind w:left="1243" w:hanging="720"/>
      </w:pPr>
      <w:rPr>
        <w:rFonts w:hint="default"/>
      </w:rPr>
    </w:lvl>
    <w:lvl w:ilvl="3">
      <w:start w:val="1"/>
      <w:numFmt w:val="decimal"/>
      <w:isLgl/>
      <w:lvlText w:val="%1.%2.%3.%4."/>
      <w:lvlJc w:val="left"/>
      <w:pPr>
        <w:ind w:left="1482" w:hanging="720"/>
      </w:pPr>
      <w:rPr>
        <w:rFonts w:hint="default"/>
      </w:rPr>
    </w:lvl>
    <w:lvl w:ilvl="4">
      <w:start w:val="1"/>
      <w:numFmt w:val="decimal"/>
      <w:isLgl/>
      <w:lvlText w:val="%1.%2.%3.%4.%5."/>
      <w:lvlJc w:val="left"/>
      <w:pPr>
        <w:ind w:left="2081" w:hanging="1080"/>
      </w:pPr>
      <w:rPr>
        <w:rFonts w:hint="default"/>
      </w:rPr>
    </w:lvl>
    <w:lvl w:ilvl="5">
      <w:start w:val="1"/>
      <w:numFmt w:val="decimal"/>
      <w:isLgl/>
      <w:lvlText w:val="%1.%2.%3.%4.%5.%6."/>
      <w:lvlJc w:val="left"/>
      <w:pPr>
        <w:ind w:left="2320" w:hanging="1080"/>
      </w:pPr>
      <w:rPr>
        <w:rFonts w:hint="default"/>
      </w:rPr>
    </w:lvl>
    <w:lvl w:ilvl="6">
      <w:start w:val="1"/>
      <w:numFmt w:val="decimal"/>
      <w:isLgl/>
      <w:lvlText w:val="%1.%2.%3.%4.%5.%6.%7."/>
      <w:lvlJc w:val="left"/>
      <w:pPr>
        <w:ind w:left="2559" w:hanging="1080"/>
      </w:pPr>
      <w:rPr>
        <w:rFonts w:hint="default"/>
      </w:rPr>
    </w:lvl>
    <w:lvl w:ilvl="7">
      <w:start w:val="1"/>
      <w:numFmt w:val="decimal"/>
      <w:isLgl/>
      <w:lvlText w:val="%1.%2.%3.%4.%5.%6.%7.%8."/>
      <w:lvlJc w:val="left"/>
      <w:pPr>
        <w:ind w:left="3158" w:hanging="1440"/>
      </w:pPr>
      <w:rPr>
        <w:rFonts w:hint="default"/>
      </w:rPr>
    </w:lvl>
    <w:lvl w:ilvl="8">
      <w:start w:val="1"/>
      <w:numFmt w:val="decimal"/>
      <w:isLgl/>
      <w:lvlText w:val="%1.%2.%3.%4.%5.%6.%7.%8.%9."/>
      <w:lvlJc w:val="left"/>
      <w:pPr>
        <w:ind w:left="3397" w:hanging="1440"/>
      </w:pPr>
      <w:rPr>
        <w:rFonts w:hint="default"/>
      </w:rPr>
    </w:lvl>
  </w:abstractNum>
  <w:abstractNum w:abstractNumId="7">
    <w:nsid w:val="715D455D"/>
    <w:multiLevelType w:val="hybridMultilevel"/>
    <w:tmpl w:val="02E69CB8"/>
    <w:lvl w:ilvl="0" w:tplc="9F0E5F72">
      <w:start w:val="1"/>
      <w:numFmt w:val="decimal"/>
      <w:lvlText w:val="%1."/>
      <w:lvlJc w:val="left"/>
      <w:pPr>
        <w:ind w:left="370" w:hanging="360"/>
      </w:pPr>
      <w:rPr>
        <w:rFonts w:hint="default"/>
      </w:rPr>
    </w:lvl>
    <w:lvl w:ilvl="1" w:tplc="280A0019" w:tentative="1">
      <w:start w:val="1"/>
      <w:numFmt w:val="lowerLetter"/>
      <w:lvlText w:val="%2."/>
      <w:lvlJc w:val="left"/>
      <w:pPr>
        <w:ind w:left="1090" w:hanging="360"/>
      </w:pPr>
    </w:lvl>
    <w:lvl w:ilvl="2" w:tplc="280A001B" w:tentative="1">
      <w:start w:val="1"/>
      <w:numFmt w:val="lowerRoman"/>
      <w:lvlText w:val="%3."/>
      <w:lvlJc w:val="right"/>
      <w:pPr>
        <w:ind w:left="1810" w:hanging="180"/>
      </w:pPr>
    </w:lvl>
    <w:lvl w:ilvl="3" w:tplc="280A000F" w:tentative="1">
      <w:start w:val="1"/>
      <w:numFmt w:val="decimal"/>
      <w:lvlText w:val="%4."/>
      <w:lvlJc w:val="left"/>
      <w:pPr>
        <w:ind w:left="2530" w:hanging="360"/>
      </w:pPr>
    </w:lvl>
    <w:lvl w:ilvl="4" w:tplc="280A0019" w:tentative="1">
      <w:start w:val="1"/>
      <w:numFmt w:val="lowerLetter"/>
      <w:lvlText w:val="%5."/>
      <w:lvlJc w:val="left"/>
      <w:pPr>
        <w:ind w:left="3250" w:hanging="360"/>
      </w:pPr>
    </w:lvl>
    <w:lvl w:ilvl="5" w:tplc="280A001B" w:tentative="1">
      <w:start w:val="1"/>
      <w:numFmt w:val="lowerRoman"/>
      <w:lvlText w:val="%6."/>
      <w:lvlJc w:val="right"/>
      <w:pPr>
        <w:ind w:left="3970" w:hanging="180"/>
      </w:pPr>
    </w:lvl>
    <w:lvl w:ilvl="6" w:tplc="280A000F" w:tentative="1">
      <w:start w:val="1"/>
      <w:numFmt w:val="decimal"/>
      <w:lvlText w:val="%7."/>
      <w:lvlJc w:val="left"/>
      <w:pPr>
        <w:ind w:left="4690" w:hanging="360"/>
      </w:pPr>
    </w:lvl>
    <w:lvl w:ilvl="7" w:tplc="280A0019" w:tentative="1">
      <w:start w:val="1"/>
      <w:numFmt w:val="lowerLetter"/>
      <w:lvlText w:val="%8."/>
      <w:lvlJc w:val="left"/>
      <w:pPr>
        <w:ind w:left="5410" w:hanging="360"/>
      </w:pPr>
    </w:lvl>
    <w:lvl w:ilvl="8" w:tplc="280A001B" w:tentative="1">
      <w:start w:val="1"/>
      <w:numFmt w:val="lowerRoman"/>
      <w:lvlText w:val="%9."/>
      <w:lvlJc w:val="right"/>
      <w:pPr>
        <w:ind w:left="6130" w:hanging="180"/>
      </w:pPr>
    </w:lvl>
  </w:abstractNum>
  <w:num w:numId="1">
    <w:abstractNumId w:val="6"/>
  </w:num>
  <w:num w:numId="2">
    <w:abstractNumId w:val="2"/>
  </w:num>
  <w:num w:numId="3">
    <w:abstractNumId w:val="3"/>
  </w:num>
  <w:num w:numId="4">
    <w:abstractNumId w:val="7"/>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52B"/>
    <w:rsid w:val="0001018D"/>
    <w:rsid w:val="00040C81"/>
    <w:rsid w:val="00047FAB"/>
    <w:rsid w:val="00051E5E"/>
    <w:rsid w:val="00060C62"/>
    <w:rsid w:val="00067A66"/>
    <w:rsid w:val="000C1275"/>
    <w:rsid w:val="000E167E"/>
    <w:rsid w:val="000E26A0"/>
    <w:rsid w:val="00101473"/>
    <w:rsid w:val="0010235D"/>
    <w:rsid w:val="00102FAD"/>
    <w:rsid w:val="00111CE3"/>
    <w:rsid w:val="00124684"/>
    <w:rsid w:val="00125F08"/>
    <w:rsid w:val="00141A02"/>
    <w:rsid w:val="00146532"/>
    <w:rsid w:val="0017100A"/>
    <w:rsid w:val="00171A9E"/>
    <w:rsid w:val="001804EB"/>
    <w:rsid w:val="00184888"/>
    <w:rsid w:val="001925C6"/>
    <w:rsid w:val="00192BCD"/>
    <w:rsid w:val="001959C6"/>
    <w:rsid w:val="0019742A"/>
    <w:rsid w:val="001A082F"/>
    <w:rsid w:val="001B53E5"/>
    <w:rsid w:val="001B75C8"/>
    <w:rsid w:val="001C1544"/>
    <w:rsid w:val="001C5F34"/>
    <w:rsid w:val="001D7654"/>
    <w:rsid w:val="001E153C"/>
    <w:rsid w:val="002200EC"/>
    <w:rsid w:val="0023290C"/>
    <w:rsid w:val="002364EE"/>
    <w:rsid w:val="00247029"/>
    <w:rsid w:val="00262201"/>
    <w:rsid w:val="00265677"/>
    <w:rsid w:val="00277E67"/>
    <w:rsid w:val="0029084C"/>
    <w:rsid w:val="00291DD3"/>
    <w:rsid w:val="00295846"/>
    <w:rsid w:val="002A6CDE"/>
    <w:rsid w:val="002A75D0"/>
    <w:rsid w:val="002B14C4"/>
    <w:rsid w:val="002C3F66"/>
    <w:rsid w:val="002D2CF8"/>
    <w:rsid w:val="002D7862"/>
    <w:rsid w:val="002E44C7"/>
    <w:rsid w:val="00325892"/>
    <w:rsid w:val="00326584"/>
    <w:rsid w:val="0032670D"/>
    <w:rsid w:val="00346192"/>
    <w:rsid w:val="0035382B"/>
    <w:rsid w:val="0037609E"/>
    <w:rsid w:val="0037652B"/>
    <w:rsid w:val="003A2079"/>
    <w:rsid w:val="003A6D85"/>
    <w:rsid w:val="003C22D3"/>
    <w:rsid w:val="003D2A4F"/>
    <w:rsid w:val="003E2528"/>
    <w:rsid w:val="003F6D6A"/>
    <w:rsid w:val="0042188D"/>
    <w:rsid w:val="00452143"/>
    <w:rsid w:val="004A38B0"/>
    <w:rsid w:val="004A540E"/>
    <w:rsid w:val="004A567F"/>
    <w:rsid w:val="004D2B25"/>
    <w:rsid w:val="004D44A6"/>
    <w:rsid w:val="004D5D02"/>
    <w:rsid w:val="004E5757"/>
    <w:rsid w:val="004F0D6B"/>
    <w:rsid w:val="004F40D5"/>
    <w:rsid w:val="00505703"/>
    <w:rsid w:val="00521468"/>
    <w:rsid w:val="005334FA"/>
    <w:rsid w:val="0055596A"/>
    <w:rsid w:val="00563470"/>
    <w:rsid w:val="005649AC"/>
    <w:rsid w:val="00567A36"/>
    <w:rsid w:val="0058642D"/>
    <w:rsid w:val="00591ABB"/>
    <w:rsid w:val="005A081D"/>
    <w:rsid w:val="005A52AE"/>
    <w:rsid w:val="005C4771"/>
    <w:rsid w:val="005C47A8"/>
    <w:rsid w:val="005C48D8"/>
    <w:rsid w:val="005C5C0C"/>
    <w:rsid w:val="005D1FFC"/>
    <w:rsid w:val="005D6F4B"/>
    <w:rsid w:val="005D719B"/>
    <w:rsid w:val="005E0A78"/>
    <w:rsid w:val="00603841"/>
    <w:rsid w:val="00603C9E"/>
    <w:rsid w:val="00605C49"/>
    <w:rsid w:val="00611ABF"/>
    <w:rsid w:val="00611F2D"/>
    <w:rsid w:val="00677F73"/>
    <w:rsid w:val="00692457"/>
    <w:rsid w:val="00692AEE"/>
    <w:rsid w:val="006950CD"/>
    <w:rsid w:val="006A53C9"/>
    <w:rsid w:val="006C4091"/>
    <w:rsid w:val="006F1431"/>
    <w:rsid w:val="00705CF3"/>
    <w:rsid w:val="007107E9"/>
    <w:rsid w:val="007167FB"/>
    <w:rsid w:val="007224B2"/>
    <w:rsid w:val="00746F32"/>
    <w:rsid w:val="0076613A"/>
    <w:rsid w:val="00771975"/>
    <w:rsid w:val="007B558E"/>
    <w:rsid w:val="007B7CBB"/>
    <w:rsid w:val="007C4A0E"/>
    <w:rsid w:val="007D3166"/>
    <w:rsid w:val="007D51ED"/>
    <w:rsid w:val="008040A4"/>
    <w:rsid w:val="00814599"/>
    <w:rsid w:val="00827B24"/>
    <w:rsid w:val="008444B5"/>
    <w:rsid w:val="008475BA"/>
    <w:rsid w:val="0085531A"/>
    <w:rsid w:val="0087177D"/>
    <w:rsid w:val="00874F7E"/>
    <w:rsid w:val="00880B1E"/>
    <w:rsid w:val="00886C5A"/>
    <w:rsid w:val="008A5D0D"/>
    <w:rsid w:val="008A61AD"/>
    <w:rsid w:val="008C7A06"/>
    <w:rsid w:val="008E427F"/>
    <w:rsid w:val="008E4293"/>
    <w:rsid w:val="00900668"/>
    <w:rsid w:val="00902035"/>
    <w:rsid w:val="00902499"/>
    <w:rsid w:val="0090338A"/>
    <w:rsid w:val="00904871"/>
    <w:rsid w:val="00910101"/>
    <w:rsid w:val="00920F90"/>
    <w:rsid w:val="00923DFF"/>
    <w:rsid w:val="00957AD4"/>
    <w:rsid w:val="00971DC3"/>
    <w:rsid w:val="00993D3B"/>
    <w:rsid w:val="009B1205"/>
    <w:rsid w:val="009B74A1"/>
    <w:rsid w:val="009E08FC"/>
    <w:rsid w:val="00A12830"/>
    <w:rsid w:val="00A1286F"/>
    <w:rsid w:val="00A17408"/>
    <w:rsid w:val="00A313AD"/>
    <w:rsid w:val="00A40752"/>
    <w:rsid w:val="00A4304E"/>
    <w:rsid w:val="00A6207F"/>
    <w:rsid w:val="00A75299"/>
    <w:rsid w:val="00A8778D"/>
    <w:rsid w:val="00AB3071"/>
    <w:rsid w:val="00AD142C"/>
    <w:rsid w:val="00AD3BCA"/>
    <w:rsid w:val="00AE429C"/>
    <w:rsid w:val="00B02D17"/>
    <w:rsid w:val="00B05BB7"/>
    <w:rsid w:val="00B106E9"/>
    <w:rsid w:val="00B1474C"/>
    <w:rsid w:val="00B318AA"/>
    <w:rsid w:val="00B46ACD"/>
    <w:rsid w:val="00B5527E"/>
    <w:rsid w:val="00B72F78"/>
    <w:rsid w:val="00B937BD"/>
    <w:rsid w:val="00B9768B"/>
    <w:rsid w:val="00BA4965"/>
    <w:rsid w:val="00BA4C7E"/>
    <w:rsid w:val="00BA5B05"/>
    <w:rsid w:val="00BB7612"/>
    <w:rsid w:val="00BE0EE4"/>
    <w:rsid w:val="00C0000C"/>
    <w:rsid w:val="00C03C32"/>
    <w:rsid w:val="00C07899"/>
    <w:rsid w:val="00C1075C"/>
    <w:rsid w:val="00C1215F"/>
    <w:rsid w:val="00C22E3D"/>
    <w:rsid w:val="00C42BD1"/>
    <w:rsid w:val="00C4451F"/>
    <w:rsid w:val="00C529AC"/>
    <w:rsid w:val="00C5632E"/>
    <w:rsid w:val="00C6557E"/>
    <w:rsid w:val="00C85B3F"/>
    <w:rsid w:val="00C9025E"/>
    <w:rsid w:val="00CD42E6"/>
    <w:rsid w:val="00CD6391"/>
    <w:rsid w:val="00CD7231"/>
    <w:rsid w:val="00CE23B9"/>
    <w:rsid w:val="00D35C91"/>
    <w:rsid w:val="00D57C13"/>
    <w:rsid w:val="00D6457F"/>
    <w:rsid w:val="00D800EC"/>
    <w:rsid w:val="00D9289D"/>
    <w:rsid w:val="00D96EDA"/>
    <w:rsid w:val="00D97D00"/>
    <w:rsid w:val="00DA622F"/>
    <w:rsid w:val="00DE507C"/>
    <w:rsid w:val="00DE5E5C"/>
    <w:rsid w:val="00E45AE2"/>
    <w:rsid w:val="00E47A49"/>
    <w:rsid w:val="00E55B13"/>
    <w:rsid w:val="00E7000C"/>
    <w:rsid w:val="00E71A5A"/>
    <w:rsid w:val="00E8109C"/>
    <w:rsid w:val="00E90D2A"/>
    <w:rsid w:val="00EB4062"/>
    <w:rsid w:val="00ED1A20"/>
    <w:rsid w:val="00ED6F78"/>
    <w:rsid w:val="00EF7EA0"/>
    <w:rsid w:val="00F13061"/>
    <w:rsid w:val="00F21C8C"/>
    <w:rsid w:val="00F510ED"/>
    <w:rsid w:val="00F51775"/>
    <w:rsid w:val="00F5716E"/>
    <w:rsid w:val="00F60364"/>
    <w:rsid w:val="00F804E2"/>
    <w:rsid w:val="00FA06B4"/>
    <w:rsid w:val="00FB4E87"/>
    <w:rsid w:val="00FD36D4"/>
    <w:rsid w:val="00FE085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652B"/>
    <w:pPr>
      <w:ind w:left="720"/>
      <w:contextualSpacing/>
    </w:pPr>
  </w:style>
  <w:style w:type="character" w:customStyle="1" w:styleId="ft4">
    <w:name w:val="ft4"/>
    <w:basedOn w:val="Fuentedeprrafopredeter"/>
    <w:rsid w:val="007B558E"/>
  </w:style>
  <w:style w:type="character" w:customStyle="1" w:styleId="no-style-override-1">
    <w:name w:val="no-style-override-1"/>
    <w:basedOn w:val="Fuentedeprrafopredeter"/>
    <w:rsid w:val="00971DC3"/>
  </w:style>
  <w:style w:type="character" w:customStyle="1" w:styleId="apple-converted-space">
    <w:name w:val="apple-converted-space"/>
    <w:basedOn w:val="Fuentedeprrafopredeter"/>
    <w:rsid w:val="00971DC3"/>
  </w:style>
  <w:style w:type="character" w:customStyle="1" w:styleId="ft3">
    <w:name w:val="ft3"/>
    <w:basedOn w:val="Fuentedeprrafopredeter"/>
    <w:rsid w:val="00051E5E"/>
  </w:style>
  <w:style w:type="paragraph" w:customStyle="1" w:styleId="cuerpo">
    <w:name w:val="cuerpo"/>
    <w:basedOn w:val="Normal"/>
    <w:rsid w:val="00EB4062"/>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Encabezado">
    <w:name w:val="header"/>
    <w:basedOn w:val="Normal"/>
    <w:link w:val="EncabezadoCar"/>
    <w:uiPriority w:val="99"/>
    <w:unhideWhenUsed/>
    <w:rsid w:val="00A128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286F"/>
  </w:style>
  <w:style w:type="paragraph" w:styleId="Piedepgina">
    <w:name w:val="footer"/>
    <w:basedOn w:val="Normal"/>
    <w:link w:val="PiedepginaCar"/>
    <w:uiPriority w:val="99"/>
    <w:unhideWhenUsed/>
    <w:rsid w:val="00A128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286F"/>
  </w:style>
  <w:style w:type="paragraph" w:customStyle="1" w:styleId="Textoindependiente22">
    <w:name w:val="Texto independiente 22"/>
    <w:basedOn w:val="Normal"/>
    <w:rsid w:val="0001018D"/>
    <w:pPr>
      <w:spacing w:after="0" w:line="240" w:lineRule="auto"/>
      <w:jc w:val="both"/>
    </w:pPr>
    <w:rPr>
      <w:rFonts w:ascii="Arial" w:hAnsi="Arial" w:cs="Arial"/>
      <w:lang w:eastAsia="es-ES"/>
    </w:rPr>
  </w:style>
  <w:style w:type="paragraph" w:styleId="Textodeglobo">
    <w:name w:val="Balloon Text"/>
    <w:basedOn w:val="Normal"/>
    <w:link w:val="TextodegloboCar"/>
    <w:uiPriority w:val="99"/>
    <w:semiHidden/>
    <w:unhideWhenUsed/>
    <w:rsid w:val="009033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338A"/>
    <w:rPr>
      <w:rFonts w:ascii="Tahoma" w:hAnsi="Tahoma" w:cs="Tahoma"/>
      <w:sz w:val="16"/>
      <w:szCs w:val="16"/>
    </w:rPr>
  </w:style>
  <w:style w:type="character" w:styleId="Refdecomentario">
    <w:name w:val="annotation reference"/>
    <w:basedOn w:val="Fuentedeprrafopredeter"/>
    <w:uiPriority w:val="99"/>
    <w:semiHidden/>
    <w:unhideWhenUsed/>
    <w:rsid w:val="0055596A"/>
    <w:rPr>
      <w:sz w:val="16"/>
      <w:szCs w:val="16"/>
    </w:rPr>
  </w:style>
  <w:style w:type="paragraph" w:styleId="Textocomentario">
    <w:name w:val="annotation text"/>
    <w:basedOn w:val="Normal"/>
    <w:link w:val="TextocomentarioCar"/>
    <w:uiPriority w:val="99"/>
    <w:semiHidden/>
    <w:unhideWhenUsed/>
    <w:rsid w:val="0055596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596A"/>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652B"/>
    <w:pPr>
      <w:ind w:left="720"/>
      <w:contextualSpacing/>
    </w:pPr>
  </w:style>
  <w:style w:type="character" w:customStyle="1" w:styleId="ft4">
    <w:name w:val="ft4"/>
    <w:basedOn w:val="Fuentedeprrafopredeter"/>
    <w:rsid w:val="007B558E"/>
  </w:style>
  <w:style w:type="character" w:customStyle="1" w:styleId="no-style-override-1">
    <w:name w:val="no-style-override-1"/>
    <w:basedOn w:val="Fuentedeprrafopredeter"/>
    <w:rsid w:val="00971DC3"/>
  </w:style>
  <w:style w:type="character" w:customStyle="1" w:styleId="apple-converted-space">
    <w:name w:val="apple-converted-space"/>
    <w:basedOn w:val="Fuentedeprrafopredeter"/>
    <w:rsid w:val="00971DC3"/>
  </w:style>
  <w:style w:type="character" w:customStyle="1" w:styleId="ft3">
    <w:name w:val="ft3"/>
    <w:basedOn w:val="Fuentedeprrafopredeter"/>
    <w:rsid w:val="00051E5E"/>
  </w:style>
  <w:style w:type="paragraph" w:customStyle="1" w:styleId="cuerpo">
    <w:name w:val="cuerpo"/>
    <w:basedOn w:val="Normal"/>
    <w:rsid w:val="00EB4062"/>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Encabezado">
    <w:name w:val="header"/>
    <w:basedOn w:val="Normal"/>
    <w:link w:val="EncabezadoCar"/>
    <w:uiPriority w:val="99"/>
    <w:unhideWhenUsed/>
    <w:rsid w:val="00A128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286F"/>
  </w:style>
  <w:style w:type="paragraph" w:styleId="Piedepgina">
    <w:name w:val="footer"/>
    <w:basedOn w:val="Normal"/>
    <w:link w:val="PiedepginaCar"/>
    <w:uiPriority w:val="99"/>
    <w:unhideWhenUsed/>
    <w:rsid w:val="00A128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286F"/>
  </w:style>
  <w:style w:type="paragraph" w:customStyle="1" w:styleId="Textoindependiente22">
    <w:name w:val="Texto independiente 22"/>
    <w:basedOn w:val="Normal"/>
    <w:rsid w:val="0001018D"/>
    <w:pPr>
      <w:spacing w:after="0" w:line="240" w:lineRule="auto"/>
      <w:jc w:val="both"/>
    </w:pPr>
    <w:rPr>
      <w:rFonts w:ascii="Arial" w:hAnsi="Arial" w:cs="Arial"/>
      <w:lang w:eastAsia="es-ES"/>
    </w:rPr>
  </w:style>
  <w:style w:type="paragraph" w:styleId="Textodeglobo">
    <w:name w:val="Balloon Text"/>
    <w:basedOn w:val="Normal"/>
    <w:link w:val="TextodegloboCar"/>
    <w:uiPriority w:val="99"/>
    <w:semiHidden/>
    <w:unhideWhenUsed/>
    <w:rsid w:val="009033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338A"/>
    <w:rPr>
      <w:rFonts w:ascii="Tahoma" w:hAnsi="Tahoma" w:cs="Tahoma"/>
      <w:sz w:val="16"/>
      <w:szCs w:val="16"/>
    </w:rPr>
  </w:style>
  <w:style w:type="character" w:styleId="Refdecomentario">
    <w:name w:val="annotation reference"/>
    <w:basedOn w:val="Fuentedeprrafopredeter"/>
    <w:uiPriority w:val="99"/>
    <w:semiHidden/>
    <w:unhideWhenUsed/>
    <w:rsid w:val="0055596A"/>
    <w:rPr>
      <w:sz w:val="16"/>
      <w:szCs w:val="16"/>
    </w:rPr>
  </w:style>
  <w:style w:type="paragraph" w:styleId="Textocomentario">
    <w:name w:val="annotation text"/>
    <w:basedOn w:val="Normal"/>
    <w:link w:val="TextocomentarioCar"/>
    <w:uiPriority w:val="99"/>
    <w:semiHidden/>
    <w:unhideWhenUsed/>
    <w:rsid w:val="0055596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596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53081">
      <w:bodyDiv w:val="1"/>
      <w:marLeft w:val="0"/>
      <w:marRight w:val="0"/>
      <w:marTop w:val="0"/>
      <w:marBottom w:val="0"/>
      <w:divBdr>
        <w:top w:val="none" w:sz="0" w:space="0" w:color="auto"/>
        <w:left w:val="none" w:sz="0" w:space="0" w:color="auto"/>
        <w:bottom w:val="none" w:sz="0" w:space="0" w:color="auto"/>
        <w:right w:val="none" w:sz="0" w:space="0" w:color="auto"/>
      </w:divBdr>
      <w:divsChild>
        <w:div w:id="298609629">
          <w:marLeft w:val="0"/>
          <w:marRight w:val="0"/>
          <w:marTop w:val="0"/>
          <w:marBottom w:val="0"/>
          <w:divBdr>
            <w:top w:val="none" w:sz="0" w:space="0" w:color="auto"/>
            <w:left w:val="none" w:sz="0" w:space="0" w:color="auto"/>
            <w:bottom w:val="none" w:sz="0" w:space="0" w:color="auto"/>
            <w:right w:val="none" w:sz="0" w:space="0" w:color="auto"/>
          </w:divBdr>
        </w:div>
        <w:div w:id="905183883">
          <w:marLeft w:val="0"/>
          <w:marRight w:val="0"/>
          <w:marTop w:val="0"/>
          <w:marBottom w:val="0"/>
          <w:divBdr>
            <w:top w:val="none" w:sz="0" w:space="0" w:color="auto"/>
            <w:left w:val="none" w:sz="0" w:space="0" w:color="auto"/>
            <w:bottom w:val="none" w:sz="0" w:space="0" w:color="auto"/>
            <w:right w:val="none" w:sz="0" w:space="0" w:color="auto"/>
          </w:divBdr>
        </w:div>
        <w:div w:id="220097743">
          <w:marLeft w:val="0"/>
          <w:marRight w:val="0"/>
          <w:marTop w:val="0"/>
          <w:marBottom w:val="0"/>
          <w:divBdr>
            <w:top w:val="none" w:sz="0" w:space="0" w:color="auto"/>
            <w:left w:val="none" w:sz="0" w:space="0" w:color="auto"/>
            <w:bottom w:val="none" w:sz="0" w:space="0" w:color="auto"/>
            <w:right w:val="none" w:sz="0" w:space="0" w:color="auto"/>
          </w:divBdr>
        </w:div>
        <w:div w:id="1462923583">
          <w:marLeft w:val="0"/>
          <w:marRight w:val="0"/>
          <w:marTop w:val="0"/>
          <w:marBottom w:val="0"/>
          <w:divBdr>
            <w:top w:val="none" w:sz="0" w:space="0" w:color="auto"/>
            <w:left w:val="none" w:sz="0" w:space="0" w:color="auto"/>
            <w:bottom w:val="none" w:sz="0" w:space="0" w:color="auto"/>
            <w:right w:val="none" w:sz="0" w:space="0" w:color="auto"/>
          </w:divBdr>
        </w:div>
      </w:divsChild>
    </w:div>
    <w:div w:id="559706695">
      <w:bodyDiv w:val="1"/>
      <w:marLeft w:val="0"/>
      <w:marRight w:val="0"/>
      <w:marTop w:val="0"/>
      <w:marBottom w:val="0"/>
      <w:divBdr>
        <w:top w:val="none" w:sz="0" w:space="0" w:color="auto"/>
        <w:left w:val="none" w:sz="0" w:space="0" w:color="auto"/>
        <w:bottom w:val="none" w:sz="0" w:space="0" w:color="auto"/>
        <w:right w:val="none" w:sz="0" w:space="0" w:color="auto"/>
      </w:divBdr>
    </w:div>
    <w:div w:id="665476099">
      <w:bodyDiv w:val="1"/>
      <w:marLeft w:val="0"/>
      <w:marRight w:val="0"/>
      <w:marTop w:val="0"/>
      <w:marBottom w:val="0"/>
      <w:divBdr>
        <w:top w:val="none" w:sz="0" w:space="0" w:color="auto"/>
        <w:left w:val="none" w:sz="0" w:space="0" w:color="auto"/>
        <w:bottom w:val="none" w:sz="0" w:space="0" w:color="auto"/>
        <w:right w:val="none" w:sz="0" w:space="0" w:color="auto"/>
      </w:divBdr>
      <w:divsChild>
        <w:div w:id="590554454">
          <w:marLeft w:val="0"/>
          <w:marRight w:val="0"/>
          <w:marTop w:val="0"/>
          <w:marBottom w:val="0"/>
          <w:divBdr>
            <w:top w:val="none" w:sz="0" w:space="0" w:color="auto"/>
            <w:left w:val="none" w:sz="0" w:space="0" w:color="auto"/>
            <w:bottom w:val="none" w:sz="0" w:space="0" w:color="auto"/>
            <w:right w:val="none" w:sz="0" w:space="0" w:color="auto"/>
          </w:divBdr>
        </w:div>
        <w:div w:id="1580675717">
          <w:marLeft w:val="0"/>
          <w:marRight w:val="0"/>
          <w:marTop w:val="0"/>
          <w:marBottom w:val="0"/>
          <w:divBdr>
            <w:top w:val="none" w:sz="0" w:space="0" w:color="auto"/>
            <w:left w:val="none" w:sz="0" w:space="0" w:color="auto"/>
            <w:bottom w:val="none" w:sz="0" w:space="0" w:color="auto"/>
            <w:right w:val="none" w:sz="0" w:space="0" w:color="auto"/>
          </w:divBdr>
        </w:div>
        <w:div w:id="603000763">
          <w:marLeft w:val="0"/>
          <w:marRight w:val="0"/>
          <w:marTop w:val="0"/>
          <w:marBottom w:val="0"/>
          <w:divBdr>
            <w:top w:val="none" w:sz="0" w:space="0" w:color="auto"/>
            <w:left w:val="none" w:sz="0" w:space="0" w:color="auto"/>
            <w:bottom w:val="none" w:sz="0" w:space="0" w:color="auto"/>
            <w:right w:val="none" w:sz="0" w:space="0" w:color="auto"/>
          </w:divBdr>
        </w:div>
        <w:div w:id="414325535">
          <w:marLeft w:val="0"/>
          <w:marRight w:val="0"/>
          <w:marTop w:val="0"/>
          <w:marBottom w:val="0"/>
          <w:divBdr>
            <w:top w:val="none" w:sz="0" w:space="0" w:color="auto"/>
            <w:left w:val="none" w:sz="0" w:space="0" w:color="auto"/>
            <w:bottom w:val="none" w:sz="0" w:space="0" w:color="auto"/>
            <w:right w:val="none" w:sz="0" w:space="0" w:color="auto"/>
          </w:divBdr>
        </w:div>
        <w:div w:id="2133741088">
          <w:marLeft w:val="0"/>
          <w:marRight w:val="0"/>
          <w:marTop w:val="0"/>
          <w:marBottom w:val="0"/>
          <w:divBdr>
            <w:top w:val="none" w:sz="0" w:space="0" w:color="auto"/>
            <w:left w:val="none" w:sz="0" w:space="0" w:color="auto"/>
            <w:bottom w:val="none" w:sz="0" w:space="0" w:color="auto"/>
            <w:right w:val="none" w:sz="0" w:space="0" w:color="auto"/>
          </w:divBdr>
        </w:div>
        <w:div w:id="1354191738">
          <w:marLeft w:val="0"/>
          <w:marRight w:val="0"/>
          <w:marTop w:val="0"/>
          <w:marBottom w:val="0"/>
          <w:divBdr>
            <w:top w:val="none" w:sz="0" w:space="0" w:color="auto"/>
            <w:left w:val="none" w:sz="0" w:space="0" w:color="auto"/>
            <w:bottom w:val="none" w:sz="0" w:space="0" w:color="auto"/>
            <w:right w:val="none" w:sz="0" w:space="0" w:color="auto"/>
          </w:divBdr>
        </w:div>
        <w:div w:id="534276234">
          <w:marLeft w:val="0"/>
          <w:marRight w:val="0"/>
          <w:marTop w:val="0"/>
          <w:marBottom w:val="0"/>
          <w:divBdr>
            <w:top w:val="none" w:sz="0" w:space="0" w:color="auto"/>
            <w:left w:val="none" w:sz="0" w:space="0" w:color="auto"/>
            <w:bottom w:val="none" w:sz="0" w:space="0" w:color="auto"/>
            <w:right w:val="none" w:sz="0" w:space="0" w:color="auto"/>
          </w:divBdr>
        </w:div>
      </w:divsChild>
    </w:div>
    <w:div w:id="672610304">
      <w:bodyDiv w:val="1"/>
      <w:marLeft w:val="0"/>
      <w:marRight w:val="0"/>
      <w:marTop w:val="0"/>
      <w:marBottom w:val="0"/>
      <w:divBdr>
        <w:top w:val="none" w:sz="0" w:space="0" w:color="auto"/>
        <w:left w:val="none" w:sz="0" w:space="0" w:color="auto"/>
        <w:bottom w:val="none" w:sz="0" w:space="0" w:color="auto"/>
        <w:right w:val="none" w:sz="0" w:space="0" w:color="auto"/>
      </w:divBdr>
    </w:div>
    <w:div w:id="832332607">
      <w:bodyDiv w:val="1"/>
      <w:marLeft w:val="0"/>
      <w:marRight w:val="0"/>
      <w:marTop w:val="0"/>
      <w:marBottom w:val="0"/>
      <w:divBdr>
        <w:top w:val="none" w:sz="0" w:space="0" w:color="auto"/>
        <w:left w:val="none" w:sz="0" w:space="0" w:color="auto"/>
        <w:bottom w:val="none" w:sz="0" w:space="0" w:color="auto"/>
        <w:right w:val="none" w:sz="0" w:space="0" w:color="auto"/>
      </w:divBdr>
    </w:div>
    <w:div w:id="881133235">
      <w:bodyDiv w:val="1"/>
      <w:marLeft w:val="0"/>
      <w:marRight w:val="0"/>
      <w:marTop w:val="0"/>
      <w:marBottom w:val="0"/>
      <w:divBdr>
        <w:top w:val="none" w:sz="0" w:space="0" w:color="auto"/>
        <w:left w:val="none" w:sz="0" w:space="0" w:color="auto"/>
        <w:bottom w:val="none" w:sz="0" w:space="0" w:color="auto"/>
        <w:right w:val="none" w:sz="0" w:space="0" w:color="auto"/>
      </w:divBdr>
    </w:div>
    <w:div w:id="166974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8186E-B6EA-4CF3-8D26-24573EEBA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7</Pages>
  <Words>3595</Words>
  <Characters>19775</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TEMP_DGM101</dc:creator>
  <cp:lastModifiedBy>Vasquez Bonifaz Martha</cp:lastModifiedBy>
  <cp:revision>7</cp:revision>
  <cp:lastPrinted>2017-09-16T03:40:00Z</cp:lastPrinted>
  <dcterms:created xsi:type="dcterms:W3CDTF">2017-09-16T03:00:00Z</dcterms:created>
  <dcterms:modified xsi:type="dcterms:W3CDTF">2017-09-16T06:04:00Z</dcterms:modified>
</cp:coreProperties>
</file>